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CE" w:rsidRDefault="00CD2C40">
      <w:pPr>
        <w:jc w:val="center"/>
        <w:rPr>
          <w:b/>
          <w:color w:val="000000" w:themeColor="text1"/>
        </w:rPr>
      </w:pPr>
      <w:bookmarkStart w:id="0" w:name="_GoBack"/>
      <w:bookmarkEnd w:id="0"/>
    </w:p>
    <w:p w:rsidR="00375ACE" w:rsidRDefault="00CD2C40">
      <w:pPr>
        <w:jc w:val="center"/>
        <w:rPr>
          <w:b/>
          <w:color w:val="000000" w:themeColor="text1"/>
        </w:rPr>
      </w:pPr>
    </w:p>
    <w:p w:rsidR="00375ACE" w:rsidRDefault="00CD2C40">
      <w:pPr>
        <w:jc w:val="center"/>
        <w:rPr>
          <w:b/>
          <w:color w:val="000000" w:themeColor="text1"/>
          <w:u w:val="single"/>
        </w:rPr>
      </w:pPr>
    </w:p>
    <w:p w:rsidR="00375ACE" w:rsidRDefault="00CD2C40">
      <w:pPr>
        <w:jc w:val="center"/>
        <w:rPr>
          <w:b/>
          <w:color w:val="000000" w:themeColor="text1"/>
          <w:u w:val="single"/>
        </w:rPr>
      </w:pPr>
      <w:r>
        <w:rPr>
          <w:b/>
          <w:color w:val="000000" w:themeColor="text1"/>
          <w:u w:val="single"/>
        </w:rPr>
        <w:t>MEMORANDUM</w:t>
      </w:r>
    </w:p>
    <w:p w:rsidR="00375ACE" w:rsidRDefault="00CD2C40">
      <w:pPr>
        <w:jc w:val="center"/>
        <w:rPr>
          <w:b/>
          <w:color w:val="000000" w:themeColor="text1"/>
          <w:u w:val="single"/>
        </w:rPr>
      </w:pPr>
    </w:p>
    <w:p w:rsidR="00375ACE" w:rsidRDefault="00CD2C40">
      <w:pPr>
        <w:jc w:val="center"/>
        <w:rPr>
          <w:b/>
          <w:color w:val="000000" w:themeColor="text1"/>
        </w:rPr>
      </w:pPr>
      <w:bookmarkStart w:id="1" w:name="DraftPageOnePlace"/>
      <w:bookmarkEnd w:id="1"/>
    </w:p>
    <w:tbl>
      <w:tblPr>
        <w:tblStyle w:val="TableGrid"/>
        <w:tblW w:w="9556"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1440"/>
        <w:gridCol w:w="8116"/>
      </w:tblGrid>
      <w:tr w:rsidR="00B64042">
        <w:trPr>
          <w:cantSplit/>
        </w:trPr>
        <w:tc>
          <w:tcPr>
            <w:tcW w:w="1440" w:type="dxa"/>
          </w:tcPr>
          <w:p w:rsidR="00375ACE" w:rsidRDefault="00CD2C40">
            <w:pPr>
              <w:spacing w:after="120"/>
              <w:rPr>
                <w:color w:val="000000" w:themeColor="text1"/>
              </w:rPr>
            </w:pPr>
            <w:r>
              <w:rPr>
                <w:color w:val="000000" w:themeColor="text1"/>
              </w:rPr>
              <w:t>TO:</w:t>
            </w:r>
          </w:p>
        </w:tc>
        <w:tc>
          <w:tcPr>
            <w:tcW w:w="8116" w:type="dxa"/>
          </w:tcPr>
          <w:p w:rsidR="00375ACE" w:rsidRDefault="00CD2C40">
            <w:pPr>
              <w:spacing w:after="120"/>
              <w:rPr>
                <w:color w:val="000000" w:themeColor="text1"/>
              </w:rPr>
            </w:pPr>
            <w:bookmarkStart w:id="2" w:name="MemoTo"/>
            <w:bookmarkEnd w:id="2"/>
            <w:r>
              <w:rPr>
                <w:color w:val="000000" w:themeColor="text1"/>
              </w:rPr>
              <w:t>Cross-Community Working Group on Enhancing ICANN Accountability</w:t>
            </w:r>
          </w:p>
        </w:tc>
      </w:tr>
      <w:tr w:rsidR="00B64042">
        <w:trPr>
          <w:cantSplit/>
        </w:trPr>
        <w:tc>
          <w:tcPr>
            <w:tcW w:w="1440" w:type="dxa"/>
          </w:tcPr>
          <w:p w:rsidR="00375ACE" w:rsidRDefault="00CD2C40">
            <w:pPr>
              <w:spacing w:after="120"/>
              <w:rPr>
                <w:color w:val="000000" w:themeColor="text1"/>
              </w:rPr>
            </w:pPr>
            <w:r>
              <w:rPr>
                <w:color w:val="000000" w:themeColor="text1"/>
              </w:rPr>
              <w:t>FROM:</w:t>
            </w:r>
          </w:p>
        </w:tc>
        <w:tc>
          <w:tcPr>
            <w:tcW w:w="8116" w:type="dxa"/>
          </w:tcPr>
          <w:p w:rsidR="00375ACE" w:rsidRDefault="00CD2C40">
            <w:pPr>
              <w:spacing w:after="120"/>
              <w:rPr>
                <w:color w:val="000000" w:themeColor="text1"/>
              </w:rPr>
            </w:pPr>
            <w:bookmarkStart w:id="3" w:name="MemoFrom"/>
            <w:bookmarkEnd w:id="3"/>
            <w:r>
              <w:rPr>
                <w:color w:val="000000" w:themeColor="text1"/>
              </w:rPr>
              <w:t xml:space="preserve">Adler &amp; Colvin and Sidley Austin LLP </w:t>
            </w:r>
          </w:p>
        </w:tc>
      </w:tr>
      <w:tr w:rsidR="00B64042">
        <w:trPr>
          <w:cantSplit/>
        </w:trPr>
        <w:tc>
          <w:tcPr>
            <w:tcW w:w="1440" w:type="dxa"/>
          </w:tcPr>
          <w:p w:rsidR="00375ACE" w:rsidRDefault="00CD2C40">
            <w:pPr>
              <w:spacing w:after="120"/>
              <w:rPr>
                <w:color w:val="000000" w:themeColor="text1"/>
              </w:rPr>
            </w:pPr>
            <w:r>
              <w:rPr>
                <w:color w:val="000000" w:themeColor="text1"/>
              </w:rPr>
              <w:t>RE:</w:t>
            </w:r>
          </w:p>
        </w:tc>
        <w:tc>
          <w:tcPr>
            <w:tcW w:w="8116" w:type="dxa"/>
          </w:tcPr>
          <w:p w:rsidR="00375ACE" w:rsidRDefault="00CD2C40">
            <w:pPr>
              <w:spacing w:after="120"/>
              <w:rPr>
                <w:i/>
                <w:color w:val="000000" w:themeColor="text1"/>
              </w:rPr>
            </w:pPr>
            <w:bookmarkStart w:id="4" w:name="MemoDate"/>
            <w:bookmarkEnd w:id="4"/>
            <w:r>
              <w:rPr>
                <w:color w:val="000000" w:themeColor="text1"/>
              </w:rPr>
              <w:t xml:space="preserve">Current Corporate Status of ICANN under California Law </w:t>
            </w:r>
          </w:p>
        </w:tc>
      </w:tr>
      <w:tr w:rsidR="00B64042">
        <w:trPr>
          <w:cantSplit/>
        </w:trPr>
        <w:tc>
          <w:tcPr>
            <w:tcW w:w="1440" w:type="dxa"/>
          </w:tcPr>
          <w:p w:rsidR="00375ACE" w:rsidRDefault="00CD2C40">
            <w:pPr>
              <w:spacing w:after="120"/>
              <w:rPr>
                <w:color w:val="000000" w:themeColor="text1"/>
              </w:rPr>
            </w:pPr>
            <w:r>
              <w:rPr>
                <w:color w:val="000000" w:themeColor="text1"/>
              </w:rPr>
              <w:t>DATE:</w:t>
            </w:r>
          </w:p>
        </w:tc>
        <w:tc>
          <w:tcPr>
            <w:tcW w:w="8116" w:type="dxa"/>
          </w:tcPr>
          <w:p w:rsidR="00375ACE" w:rsidRDefault="00CD2C40">
            <w:pPr>
              <w:spacing w:after="120"/>
              <w:rPr>
                <w:color w:val="000000" w:themeColor="text1"/>
              </w:rPr>
            </w:pPr>
            <w:bookmarkStart w:id="5" w:name="MemoSubject"/>
            <w:bookmarkEnd w:id="5"/>
            <w:r>
              <w:rPr>
                <w:color w:val="000000" w:themeColor="text1"/>
              </w:rPr>
              <w:t xml:space="preserve">October 11, 2015 </w:t>
            </w:r>
          </w:p>
        </w:tc>
      </w:tr>
      <w:tr w:rsidR="00B64042">
        <w:trPr>
          <w:cantSplit/>
        </w:trPr>
        <w:tc>
          <w:tcPr>
            <w:tcW w:w="1440" w:type="dxa"/>
            <w:tcBorders>
              <w:bottom w:val="single" w:sz="12" w:space="0" w:color="auto"/>
            </w:tcBorders>
          </w:tcPr>
          <w:p w:rsidR="00375ACE" w:rsidRDefault="00CD2C40">
            <w:pPr>
              <w:rPr>
                <w:color w:val="000000" w:themeColor="text1"/>
              </w:rPr>
            </w:pPr>
          </w:p>
        </w:tc>
        <w:tc>
          <w:tcPr>
            <w:tcW w:w="8116" w:type="dxa"/>
            <w:tcBorders>
              <w:bottom w:val="single" w:sz="12" w:space="0" w:color="auto"/>
            </w:tcBorders>
          </w:tcPr>
          <w:p w:rsidR="00375ACE" w:rsidRDefault="00CD2C40">
            <w:pPr>
              <w:tabs>
                <w:tab w:val="left" w:pos="2445"/>
              </w:tabs>
              <w:spacing w:line="360" w:lineRule="auto"/>
              <w:rPr>
                <w:color w:val="000000" w:themeColor="text1"/>
              </w:rPr>
            </w:pPr>
            <w:r>
              <w:rPr>
                <w:color w:val="000000" w:themeColor="text1"/>
              </w:rPr>
              <w:tab/>
            </w:r>
          </w:p>
        </w:tc>
      </w:tr>
    </w:tbl>
    <w:p w:rsidR="00375ACE" w:rsidRDefault="00CD2C40">
      <w:pPr>
        <w:rPr>
          <w:color w:val="000000" w:themeColor="text1"/>
        </w:rPr>
      </w:pPr>
    </w:p>
    <w:p w:rsidR="00375ACE" w:rsidRDefault="00CD2C40">
      <w:pPr>
        <w:rPr>
          <w:b/>
          <w:color w:val="000000" w:themeColor="text1"/>
        </w:rPr>
      </w:pPr>
      <w:r>
        <w:t>Question Presented</w:t>
      </w:r>
    </w:p>
    <w:p w:rsidR="00375ACE" w:rsidRDefault="00CD2C40">
      <w:pPr>
        <w:pStyle w:val="BodyTextFirstIndent"/>
      </w:pPr>
      <w:r>
        <w:t xml:space="preserve">This memorandum responds to the following question certified to us on October 6, 2015:  </w:t>
      </w:r>
      <w:r>
        <w:rPr>
          <w:i/>
        </w:rPr>
        <w:t>Under ICANN's current structure, do SOs and ACs have legal rights to select directors in line with designator rights under the California statute?</w:t>
      </w:r>
      <w:r>
        <w:t xml:space="preserve"> </w:t>
      </w:r>
    </w:p>
    <w:p w:rsidR="00375ACE" w:rsidRDefault="00CD2C40">
      <w:pPr>
        <w:pStyle w:val="TitleLeft"/>
      </w:pPr>
      <w:r>
        <w:t>Summary Conclusion</w:t>
      </w:r>
      <w:r>
        <w:rPr>
          <w:rStyle w:val="FootnoteReference"/>
        </w:rPr>
        <w:footnoteReference w:id="1"/>
      </w:r>
      <w:r>
        <w:t xml:space="preserve"> </w:t>
      </w:r>
      <w:r>
        <w:t xml:space="preserve"> </w:t>
      </w:r>
    </w:p>
    <w:p w:rsidR="00375ACE" w:rsidRDefault="00CD2C40">
      <w:pPr>
        <w:pStyle w:val="BodyTextFirstIndent"/>
      </w:pPr>
      <w:r>
        <w:rPr>
          <w:i/>
        </w:rPr>
        <w:t>Yes.  Under ICANN’s current structure, SOs and ACs have legal rights to select directors in line with designator rights under the California statute.</w:t>
      </w:r>
      <w:r>
        <w:t xml:space="preserve"> We believe that the best interpretation of ICANN’s current Bylaws is that they construct a designator mo</w:t>
      </w:r>
      <w:r>
        <w:t>del under the California Nonprofit Public Benefit Corporation Law, but with a number of gaps that create ambiguity and leave ICANN vulnerable to legal attack.</w:t>
      </w:r>
      <w:r>
        <w:rPr>
          <w:rStyle w:val="FootnoteReference"/>
          <w:color w:val="000000" w:themeColor="text1"/>
        </w:rPr>
        <w:footnoteReference w:id="2"/>
      </w:r>
    </w:p>
    <w:p w:rsidR="00375ACE" w:rsidRDefault="00CD2C40">
      <w:pPr>
        <w:pStyle w:val="TitleLeft"/>
        <w:rPr>
          <w:b w:val="0"/>
        </w:rPr>
      </w:pPr>
      <w:r>
        <w:t xml:space="preserve">Analysis </w:t>
      </w:r>
    </w:p>
    <w:p w:rsidR="00375ACE" w:rsidRDefault="00CD2C40">
      <w:pPr>
        <w:pStyle w:val="BodyTextFirstIndent"/>
      </w:pPr>
      <w:r>
        <w:t>In discussion of the Sole Designator Model as a potential alternative to the Sole Memb</w:t>
      </w:r>
      <w:r>
        <w:t>er Model that was presented in CCWG’s Second Draft Proposal, questions have arisen about the degree to which a model that relies on designator rights to support the community powers is fundamentally different from ICANN’s current structure.  For example, i</w:t>
      </w:r>
      <w:r>
        <w:t>n an October 5 e-mail message the Chair of the ICANN Board of Directors, Steve Crocker (writing on behalf of the ICANN Board of Directors</w:t>
      </w:r>
      <w:proofErr w:type="gramStart"/>
      <w:r>
        <w:t>)  asserted</w:t>
      </w:r>
      <w:proofErr w:type="gramEnd"/>
      <w:r>
        <w:t xml:space="preserve"> that the Sole Designator Model is unacceptable as a means to create an accountable multi-stakeholder corpor</w:t>
      </w:r>
      <w:r>
        <w:t xml:space="preserve">ate structure for ICANN because “[t]he Designator model still introduces a </w:t>
      </w:r>
      <w:r>
        <w:rPr>
          <w:i/>
        </w:rPr>
        <w:t>new legal structure</w:t>
      </w:r>
      <w:r>
        <w:t xml:space="preserve"> with powers that are </w:t>
      </w:r>
      <w:r>
        <w:rPr>
          <w:i/>
        </w:rPr>
        <w:t xml:space="preserve">intrinsically beyond </w:t>
      </w:r>
      <w:r>
        <w:rPr>
          <w:i/>
        </w:rPr>
        <w:lastRenderedPageBreak/>
        <w:t>the structure we have been using</w:t>
      </w:r>
      <w:r>
        <w:t>.”</w:t>
      </w:r>
      <w:r>
        <w:rPr>
          <w:rStyle w:val="FootnoteReference"/>
          <w:color w:val="000000" w:themeColor="text1"/>
        </w:rPr>
        <w:footnoteReference w:id="3"/>
      </w:r>
      <w:r>
        <w:t xml:space="preserve">  (Emphasis added.)   In assessing the degree to which any proposed model differs fr</w:t>
      </w:r>
      <w:r>
        <w:t xml:space="preserve">om the current ICANN structure, clarity about the legal status of the current ICANN structure is necessary.  </w:t>
      </w:r>
    </w:p>
    <w:p w:rsidR="00375ACE" w:rsidRDefault="00CD2C40">
      <w:pPr>
        <w:pStyle w:val="TitleLeft"/>
      </w:pPr>
      <w:r>
        <w:t>California Corporations Code Provisions on Designators</w:t>
      </w:r>
    </w:p>
    <w:p w:rsidR="00375ACE" w:rsidRDefault="00CD2C40">
      <w:pPr>
        <w:pStyle w:val="BodyTextFirstIndent"/>
      </w:pPr>
      <w:r>
        <w:t>California law contemplates three mechanisms for choosing directors to serve on the board o</w:t>
      </w:r>
      <w:r>
        <w:t>f directors of a public benefit corporation such as ICANN:</w:t>
      </w:r>
    </w:p>
    <w:p w:rsidR="00375ACE" w:rsidRDefault="00CD2C40">
      <w:pPr>
        <w:pStyle w:val="ListBullet3"/>
      </w:pPr>
      <w:r>
        <w:t xml:space="preserve">Directors may be elected </w:t>
      </w:r>
      <w:r>
        <w:rPr>
          <w:i/>
        </w:rPr>
        <w:t>by a corporation’s members</w:t>
      </w:r>
      <w:r>
        <w:t>;</w:t>
      </w:r>
      <w:r>
        <w:rPr>
          <w:rStyle w:val="FootnoteReference"/>
          <w:color w:val="000000" w:themeColor="text1"/>
        </w:rPr>
        <w:footnoteReference w:id="4"/>
      </w:r>
    </w:p>
    <w:p w:rsidR="00375ACE" w:rsidRDefault="00CD2C40">
      <w:pPr>
        <w:pStyle w:val="ListBullet3"/>
      </w:pPr>
      <w:r>
        <w:t xml:space="preserve">Directors may be chosen </w:t>
      </w:r>
      <w:r>
        <w:rPr>
          <w:i/>
        </w:rPr>
        <w:t>by the current directors</w:t>
      </w:r>
      <w:r>
        <w:t xml:space="preserve"> (sometimes referred to as a self-perpetuating board);</w:t>
      </w:r>
      <w:r>
        <w:rPr>
          <w:rStyle w:val="FootnoteReference"/>
          <w:color w:val="000000" w:themeColor="text1"/>
        </w:rPr>
        <w:footnoteReference w:id="5"/>
      </w:r>
    </w:p>
    <w:p w:rsidR="00375ACE" w:rsidRDefault="00CD2C40">
      <w:pPr>
        <w:pStyle w:val="ListBullet3"/>
      </w:pPr>
      <w:r>
        <w:t xml:space="preserve">Directors may be selected </w:t>
      </w:r>
      <w:r>
        <w:rPr>
          <w:i/>
        </w:rPr>
        <w:t>by one or mor</w:t>
      </w:r>
      <w:r>
        <w:rPr>
          <w:i/>
        </w:rPr>
        <w:t xml:space="preserve">e designators </w:t>
      </w:r>
      <w:r>
        <w:t>who are given the right to select one or more directors by the corporation’s articles or bylaws.</w:t>
      </w:r>
      <w:r>
        <w:rPr>
          <w:rStyle w:val="FootnoteReference"/>
          <w:color w:val="000000" w:themeColor="text1"/>
        </w:rPr>
        <w:footnoteReference w:id="6"/>
      </w:r>
    </w:p>
    <w:p w:rsidR="00375ACE" w:rsidRDefault="00CD2C40">
      <w:pPr>
        <w:pStyle w:val="BodyText"/>
      </w:pPr>
      <w:r>
        <w:t xml:space="preserve">Where a designator has the right, provided in the articles or bylaws, to select a director, that designator also has the right, provided in </w:t>
      </w:r>
      <w:r>
        <w:t>Section 5222(f), to remove that director (whether or not such a right is expressly provided to the designator in the articles or bylaws).   In addition, that director can be removed by the board only with the designator’s written consent.</w:t>
      </w:r>
      <w:r>
        <w:rPr>
          <w:rStyle w:val="FootnoteReference"/>
          <w:color w:val="000000" w:themeColor="text1"/>
        </w:rPr>
        <w:footnoteReference w:id="7"/>
      </w:r>
    </w:p>
    <w:p w:rsidR="00375ACE" w:rsidRDefault="00CD2C40">
      <w:pPr>
        <w:pStyle w:val="TitleLeft"/>
      </w:pPr>
      <w:r>
        <w:t xml:space="preserve">Current ICANN </w:t>
      </w:r>
      <w:r>
        <w:t>Bylaws</w:t>
      </w:r>
    </w:p>
    <w:p w:rsidR="00375ACE" w:rsidRDefault="00CD2C40">
      <w:pPr>
        <w:pStyle w:val="BodyTextFirstIndent"/>
      </w:pPr>
      <w:r>
        <w:t>ICANN’s current Bylaws (in Article VI.2 (1.b – 1.e)) provide for seven members of the Board to be “selected” by three Supporting Organizations (SOs) and by the At-Large Community, each with director seats assigned to them:</w:t>
      </w:r>
      <w:r>
        <w:rPr>
          <w:rStyle w:val="FootnoteReference"/>
          <w:color w:val="000000" w:themeColor="text1"/>
        </w:rPr>
        <w:footnoteReference w:id="8"/>
      </w:r>
    </w:p>
    <w:p w:rsidR="00375ACE" w:rsidRDefault="00CD2C40">
      <w:pPr>
        <w:ind w:left="720"/>
        <w:rPr>
          <w:color w:val="000000" w:themeColor="text1"/>
        </w:rPr>
      </w:pPr>
      <w:r>
        <w:rPr>
          <w:color w:val="000000" w:themeColor="text1"/>
        </w:rPr>
        <w:t>Address Supporting Organi</w:t>
      </w:r>
      <w:r>
        <w:rPr>
          <w:color w:val="000000" w:themeColor="text1"/>
        </w:rPr>
        <w:t>zation (ASO)</w:t>
      </w:r>
      <w:r>
        <w:rPr>
          <w:color w:val="000000" w:themeColor="text1"/>
        </w:rPr>
        <w:tab/>
      </w:r>
      <w:r>
        <w:rPr>
          <w:color w:val="000000" w:themeColor="text1"/>
        </w:rPr>
        <w:tab/>
      </w:r>
      <w:r>
        <w:rPr>
          <w:color w:val="000000" w:themeColor="text1"/>
        </w:rPr>
        <w:tab/>
      </w:r>
      <w:r>
        <w:rPr>
          <w:color w:val="000000" w:themeColor="text1"/>
        </w:rPr>
        <w:tab/>
        <w:t>2 seats</w:t>
      </w:r>
    </w:p>
    <w:p w:rsidR="00375ACE" w:rsidRDefault="00CD2C40">
      <w:pPr>
        <w:ind w:left="720"/>
        <w:rPr>
          <w:color w:val="000000" w:themeColor="text1"/>
        </w:rPr>
      </w:pPr>
      <w:r>
        <w:rPr>
          <w:color w:val="000000" w:themeColor="text1"/>
        </w:rPr>
        <w:t>Country-Code Names Supporting Organization (ccNSO)</w:t>
      </w:r>
      <w:r>
        <w:rPr>
          <w:color w:val="000000" w:themeColor="text1"/>
        </w:rPr>
        <w:tab/>
      </w:r>
      <w:r>
        <w:rPr>
          <w:color w:val="000000" w:themeColor="text1"/>
        </w:rPr>
        <w:tab/>
        <w:t>2 seats</w:t>
      </w:r>
    </w:p>
    <w:p w:rsidR="00375ACE" w:rsidRDefault="00CD2C40">
      <w:pPr>
        <w:ind w:left="720"/>
        <w:rPr>
          <w:color w:val="000000" w:themeColor="text1"/>
        </w:rPr>
      </w:pPr>
      <w:r>
        <w:rPr>
          <w:color w:val="000000" w:themeColor="text1"/>
        </w:rPr>
        <w:t>Generic Names Supporting Organization (GNSO)</w:t>
      </w:r>
      <w:r>
        <w:rPr>
          <w:color w:val="000000" w:themeColor="text1"/>
        </w:rPr>
        <w:tab/>
      </w:r>
      <w:r>
        <w:rPr>
          <w:color w:val="000000" w:themeColor="text1"/>
        </w:rPr>
        <w:tab/>
      </w:r>
      <w:r>
        <w:rPr>
          <w:color w:val="000000" w:themeColor="text1"/>
        </w:rPr>
        <w:tab/>
        <w:t>2 seats</w:t>
      </w:r>
    </w:p>
    <w:p w:rsidR="00375ACE" w:rsidRDefault="00CD2C40">
      <w:pPr>
        <w:ind w:left="720"/>
        <w:rPr>
          <w:color w:val="000000" w:themeColor="text1"/>
        </w:rPr>
      </w:pPr>
      <w:r>
        <w:rPr>
          <w:color w:val="000000" w:themeColor="text1"/>
        </w:rPr>
        <w:t>At-Large Community (At-Large Advisory Committee, ALAC)</w:t>
      </w:r>
      <w:r>
        <w:rPr>
          <w:color w:val="000000" w:themeColor="text1"/>
        </w:rPr>
        <w:tab/>
        <w:t>1 seat</w:t>
      </w:r>
    </w:p>
    <w:p w:rsidR="00375ACE" w:rsidRDefault="00CD2C40">
      <w:pPr>
        <w:rPr>
          <w:color w:val="000000" w:themeColor="text1"/>
        </w:rPr>
      </w:pPr>
    </w:p>
    <w:p w:rsidR="00375ACE" w:rsidRDefault="00CD2C40">
      <w:pPr>
        <w:pStyle w:val="BodyTextFirstIndent"/>
      </w:pPr>
      <w:r>
        <w:t xml:space="preserve">The ICANN Bylaws use the same term that the Code uses </w:t>
      </w:r>
      <w:r>
        <w:t xml:space="preserve">with respect to designator rights – “select” -- to describe the power granted to each of these groups.  The Bylaws go further </w:t>
      </w:r>
      <w:r>
        <w:lastRenderedPageBreak/>
        <w:t xml:space="preserve">and, in Articles VIII through XI, prescribe the internal process to be used by each group in making its selection.  The Bylaws do </w:t>
      </w:r>
      <w:r>
        <w:t xml:space="preserve">not indicate that there is any discretion residing in the ICANN Board for the directors selected by these groups not to be seated. We conclude that these four identified groups have designator powers under California Code Section 5220.  </w:t>
      </w:r>
    </w:p>
    <w:p w:rsidR="00375ACE" w:rsidRDefault="00CD2C40">
      <w:pPr>
        <w:pStyle w:val="BodyTextFirstIndent"/>
      </w:pPr>
      <w:r>
        <w:t>The ICANN Bylaws (</w:t>
      </w:r>
      <w:r>
        <w:t>Article VI.2 (1.a)) also provide for eight members of the Board to be “selected” by the Nominating</w:t>
      </w:r>
      <w:r>
        <w:rPr>
          <w:vertAlign w:val="superscript"/>
        </w:rPr>
        <w:footnoteReference w:id="9"/>
      </w:r>
      <w:r>
        <w:t xml:space="preserve"> Committee (NomCom) established by Article VII of the Bylaws.  The NomCom has fifteen voting delegates allocated as follows:</w:t>
      </w:r>
      <w:r>
        <w:rPr>
          <w:rStyle w:val="FootnoteReference"/>
          <w:color w:val="000000" w:themeColor="text1"/>
        </w:rPr>
        <w:footnoteReference w:id="10"/>
      </w:r>
    </w:p>
    <w:p w:rsidR="00375ACE" w:rsidRDefault="00CD2C40">
      <w:pPr>
        <w:ind w:left="1440"/>
        <w:rPr>
          <w:color w:val="000000" w:themeColor="text1"/>
        </w:rPr>
      </w:pPr>
      <w:r>
        <w:rPr>
          <w:color w:val="000000" w:themeColor="text1"/>
        </w:rPr>
        <w:t>ALAC</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5</w:t>
      </w:r>
    </w:p>
    <w:p w:rsidR="00375ACE" w:rsidRDefault="00CD2C40">
      <w:pPr>
        <w:ind w:left="1440"/>
        <w:rPr>
          <w:color w:val="000000" w:themeColor="text1"/>
        </w:rPr>
      </w:pPr>
      <w:r>
        <w:rPr>
          <w:color w:val="000000" w:themeColor="text1"/>
        </w:rPr>
        <w:t>GNSO - Registries</w:t>
      </w:r>
      <w:r>
        <w:rPr>
          <w:color w:val="000000" w:themeColor="text1"/>
        </w:rPr>
        <w:t xml:space="preserve"> Stakeholder Group</w:t>
      </w:r>
      <w:r>
        <w:rPr>
          <w:color w:val="000000" w:themeColor="text1"/>
        </w:rPr>
        <w:tab/>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GNSO - Registrars Stakeholder Group</w:t>
      </w:r>
      <w:r>
        <w:rPr>
          <w:color w:val="000000" w:themeColor="text1"/>
        </w:rPr>
        <w:tab/>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GNSO - Business Constituency, small business users</w:t>
      </w:r>
      <w:r>
        <w:rPr>
          <w:color w:val="000000" w:themeColor="text1"/>
        </w:rPr>
        <w:tab/>
        <w:t>1</w:t>
      </w:r>
    </w:p>
    <w:p w:rsidR="00375ACE" w:rsidRDefault="00CD2C40">
      <w:pPr>
        <w:ind w:left="1440"/>
        <w:rPr>
          <w:color w:val="000000" w:themeColor="text1"/>
        </w:rPr>
      </w:pPr>
      <w:r>
        <w:rPr>
          <w:color w:val="000000" w:themeColor="text1"/>
        </w:rPr>
        <w:t>GNSO - Business Constituency, large business users</w:t>
      </w:r>
      <w:r>
        <w:rPr>
          <w:color w:val="000000" w:themeColor="text1"/>
        </w:rPr>
        <w:tab/>
        <w:t>1</w:t>
      </w:r>
    </w:p>
    <w:p w:rsidR="00375ACE" w:rsidRDefault="00CD2C40">
      <w:pPr>
        <w:ind w:left="1440"/>
        <w:rPr>
          <w:color w:val="000000" w:themeColor="text1"/>
        </w:rPr>
      </w:pPr>
      <w:r>
        <w:rPr>
          <w:color w:val="000000" w:themeColor="text1"/>
        </w:rPr>
        <w:t>GNSO - Internet Service Providers Constituency</w:t>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GNSO - Intellectual Property Constitu</w:t>
      </w:r>
      <w:r>
        <w:rPr>
          <w:color w:val="000000" w:themeColor="text1"/>
        </w:rPr>
        <w:t>ency</w:t>
      </w:r>
      <w:r>
        <w:rPr>
          <w:color w:val="000000" w:themeColor="text1"/>
        </w:rPr>
        <w:tab/>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GNSO - Non-Commercial Users Constituency</w:t>
      </w:r>
      <w:r>
        <w:rPr>
          <w:color w:val="000000" w:themeColor="text1"/>
        </w:rPr>
        <w:tab/>
      </w:r>
      <w:r>
        <w:rPr>
          <w:color w:val="000000" w:themeColor="text1"/>
        </w:rPr>
        <w:tab/>
        <w:t>1</w:t>
      </w:r>
    </w:p>
    <w:p w:rsidR="00375ACE" w:rsidRDefault="00CD2C40">
      <w:pPr>
        <w:ind w:left="1440"/>
        <w:rPr>
          <w:color w:val="000000" w:themeColor="text1"/>
        </w:rPr>
      </w:pPr>
      <w:proofErr w:type="gramStart"/>
      <w:r>
        <w:rPr>
          <w:color w:val="000000" w:themeColor="text1"/>
        </w:rPr>
        <w:t>ccNSO</w:t>
      </w:r>
      <w:proofErr w:type="gramEnd"/>
      <w:r>
        <w:rPr>
          <w:color w:val="000000" w:themeColor="text1"/>
        </w:rPr>
        <w:t xml:space="preserve"> Council</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ASO Council</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1</w:t>
      </w:r>
    </w:p>
    <w:p w:rsidR="00375ACE" w:rsidRDefault="00CD2C40">
      <w:pPr>
        <w:ind w:left="1440"/>
        <w:rPr>
          <w:color w:val="000000" w:themeColor="text1"/>
        </w:rPr>
      </w:pPr>
      <w:r>
        <w:rPr>
          <w:color w:val="000000" w:themeColor="text1"/>
        </w:rPr>
        <w:t>Internet Engineering Task Force</w:t>
      </w:r>
      <w:r>
        <w:rPr>
          <w:color w:val="000000" w:themeColor="text1"/>
        </w:rPr>
        <w:tab/>
      </w:r>
      <w:r>
        <w:rPr>
          <w:color w:val="000000" w:themeColor="text1"/>
        </w:rPr>
        <w:tab/>
      </w:r>
      <w:r>
        <w:rPr>
          <w:color w:val="000000" w:themeColor="text1"/>
        </w:rPr>
        <w:tab/>
      </w:r>
      <w:r>
        <w:rPr>
          <w:color w:val="000000" w:themeColor="text1"/>
        </w:rPr>
        <w:tab/>
        <w:t>1</w:t>
      </w:r>
    </w:p>
    <w:p w:rsidR="00375ACE" w:rsidRDefault="00CD2C40">
      <w:pPr>
        <w:rPr>
          <w:color w:val="000000" w:themeColor="text1"/>
        </w:rPr>
      </w:pPr>
    </w:p>
    <w:p w:rsidR="00375ACE" w:rsidRDefault="00CD2C40">
      <w:pPr>
        <w:pStyle w:val="BodyTextFirstIndent"/>
      </w:pPr>
      <w:r>
        <w:t>This provision gives the NomCom the collective power to designate these directors, consistent with Code Section 5220(d).  Th</w:t>
      </w:r>
      <w:r>
        <w:t>ere are two legal interpretations of this:</w:t>
      </w:r>
    </w:p>
    <w:p w:rsidR="00375ACE" w:rsidRDefault="00CD2C40">
      <w:pPr>
        <w:pStyle w:val="ListBullet3"/>
      </w:pPr>
      <w:r>
        <w:t xml:space="preserve">The ten groups represented by voting delegates could each legally be a </w:t>
      </w:r>
      <w:r>
        <w:rPr>
          <w:u w:val="single"/>
        </w:rPr>
        <w:t>designator</w:t>
      </w:r>
      <w:r>
        <w:t>, but with the ten required to act collectively to select eight directors to the Board.  In that case, the NomCom is a “council of d</w:t>
      </w:r>
      <w:r>
        <w:t>esignators” -- each one cannot act alone, but together they exercise designation power.</w:t>
      </w:r>
    </w:p>
    <w:p w:rsidR="00375ACE" w:rsidRDefault="00CD2C40">
      <w:pPr>
        <w:pStyle w:val="ListBullet3"/>
      </w:pPr>
      <w:bookmarkStart w:id="6" w:name="_BPDC_LN_INS_1006"/>
      <w:bookmarkEnd w:id="6"/>
      <w:r>
        <w:t>Alternatively, the NomCom could be construed as a single designator, with ten participating groups represented by 15 voting delegates, using an internal process to acco</w:t>
      </w:r>
      <w:r>
        <w:t>mplish the designator’s selection.</w:t>
      </w:r>
    </w:p>
    <w:p w:rsidR="00375ACE" w:rsidRDefault="00CD2C40">
      <w:pPr>
        <w:pStyle w:val="BodyTextFirstIndent"/>
      </w:pPr>
      <w:r>
        <w:t>In sum, 15 of ICANN’s 16 directors are neither chosen by the sitting Board, nor elected by a membership body; they are designated as described above.  This model gives the selecting designators more limited roles and righ</w:t>
      </w:r>
      <w:r>
        <w:t xml:space="preserve">ts as compared to the power of members, but greater than in a self-perpetuating board model, in which no outside stakeholder rights for director selection exist.  </w:t>
      </w:r>
    </w:p>
    <w:p w:rsidR="00375ACE" w:rsidRDefault="00CD2C40">
      <w:pPr>
        <w:pStyle w:val="BodyTextFirstIndent"/>
      </w:pPr>
      <w:r>
        <w:t xml:space="preserve">Under Code Section 5056(a), anyone who has the right to vote for the election of a director </w:t>
      </w:r>
      <w:r>
        <w:t>or directors is defined as a “member.”  However, Section 5056(d</w:t>
      </w:r>
      <w:proofErr w:type="gramStart"/>
      <w:r>
        <w:t>)(</w:t>
      </w:r>
      <w:proofErr w:type="gramEnd"/>
      <w:r>
        <w:t xml:space="preserve">2) states that one is </w:t>
      </w:r>
      <w:r>
        <w:rPr>
          <w:i/>
        </w:rPr>
        <w:lastRenderedPageBreak/>
        <w:t>not</w:t>
      </w:r>
      <w:r>
        <w:t xml:space="preserve"> a member by virtue of “[a]</w:t>
      </w:r>
      <w:proofErr w:type="spellStart"/>
      <w:r>
        <w:t>ny</w:t>
      </w:r>
      <w:proofErr w:type="spellEnd"/>
      <w:r>
        <w:t xml:space="preserve"> rights ... to </w:t>
      </w:r>
      <w:r>
        <w:rPr>
          <w:i/>
        </w:rPr>
        <w:t>designate or select</w:t>
      </w:r>
      <w:r>
        <w:t xml:space="preserve"> a director or directors.”  (Emphasis added.)  Article XVII of the ICANN Bylaws states that “ICANN shal</w:t>
      </w:r>
      <w:r>
        <w:t>l not have members as defined in the California Nonprofit Public Benefit Corporation Law . . . .”  In expressly rejecting the possibility that the groups with the right to select directors are statutory members,</w:t>
      </w:r>
      <w:r>
        <w:rPr>
          <w:rStyle w:val="FootnoteReference"/>
          <w:color w:val="000000" w:themeColor="text1"/>
        </w:rPr>
        <w:footnoteReference w:id="11"/>
      </w:r>
      <w:r>
        <w:t xml:space="preserve"> and with no evidence in the Bylaws that the</w:t>
      </w:r>
      <w:r>
        <w:t xml:space="preserve"> Board selects directors or must approve or may reject the choices of these groups, the Bylaws leave only one legal possibility:  the groups must be designators.</w:t>
      </w:r>
    </w:p>
    <w:p w:rsidR="00375ACE" w:rsidRDefault="00CD2C40">
      <w:pPr>
        <w:pStyle w:val="TitleLeft"/>
      </w:pPr>
      <w:r>
        <w:t>Removal Rights and Powers</w:t>
      </w:r>
    </w:p>
    <w:p w:rsidR="00375ACE" w:rsidRDefault="00CD2C40">
      <w:pPr>
        <w:pStyle w:val="BodyTextFirstIndent"/>
      </w:pPr>
      <w:r>
        <w:t xml:space="preserve">The ICANN Bylaws (Article VI.11) provide that a director may be </w:t>
      </w:r>
      <w:r>
        <w:t>removed by a supermajority vote constituting three quarters (3/4) of all directors, not counting the vote of the director in question.  The Bylaws further provide that if the director was selected by an SO or by the At-Large Community, advance notice of th</w:t>
      </w:r>
      <w:r>
        <w:t>e removal must be given to them.  No other methods of removal or prerequisites to removal are set forth in the Bylaws, even though Code Sections 5221 through 5227 stipulate other methods and requirements that apply by statute and cannot be varied.  As cite</w:t>
      </w:r>
      <w:r>
        <w:t>d above, Section 5222(f) grants two removal rights to designators:</w:t>
      </w:r>
    </w:p>
    <w:p w:rsidR="00375ACE" w:rsidRDefault="00CD2C40">
      <w:pPr>
        <w:pStyle w:val="ListBullet3"/>
      </w:pPr>
      <w:r>
        <w:t>A designated director may be removed by the designator of that director under subsection (f</w:t>
      </w:r>
      <w:proofErr w:type="gramStart"/>
      <w:r>
        <w:t>)(</w:t>
      </w:r>
      <w:proofErr w:type="gramEnd"/>
      <w:r>
        <w:t>1), “[u]</w:t>
      </w:r>
      <w:proofErr w:type="spellStart"/>
      <w:r>
        <w:t>nless</w:t>
      </w:r>
      <w:proofErr w:type="spellEnd"/>
      <w:r>
        <w:t xml:space="preserve"> otherwise provided in the articles or bylaws at the time of designation....”  The </w:t>
      </w:r>
      <w:r>
        <w:t>ICANN Bylaws contain no language that deprives any designator of the power to remove its director, and thus that power remains in the hands of the designator.</w:t>
      </w:r>
    </w:p>
    <w:p w:rsidR="00375ACE" w:rsidRDefault="00CD2C40">
      <w:pPr>
        <w:pStyle w:val="ListBullet3"/>
      </w:pPr>
      <w:bookmarkStart w:id="7" w:name="_BPDC_LN_INS_1005"/>
      <w:bookmarkEnd w:id="7"/>
      <w:r>
        <w:t>If the board votes to remove a designated director without cause (“cause” is defined in Section 5</w:t>
      </w:r>
      <w:r>
        <w:t>221), that director may only be removed with the designator’s written consent.  The ICANN Bylaws provide for notice to the SO or ALAC,</w:t>
      </w:r>
      <w:r>
        <w:rPr>
          <w:rStyle w:val="FootnoteReference"/>
          <w:color w:val="000000" w:themeColor="text1"/>
        </w:rPr>
        <w:footnoteReference w:id="12"/>
      </w:r>
      <w:r>
        <w:t xml:space="preserve"> but do not mention the requirement for its consent.  The designator’s right to block board removal without cause, by wit</w:t>
      </w:r>
      <w:r>
        <w:t>hholding written consent, is statutory and cannot be taken away in bylaws.</w:t>
      </w:r>
    </w:p>
    <w:p w:rsidR="00375ACE" w:rsidRDefault="00CD2C40">
      <w:pPr>
        <w:pStyle w:val="BodyTextFirstIndent"/>
        <w:ind w:firstLine="0"/>
      </w:pPr>
      <w:r>
        <w:t>In sum, under the Code, regardless of the silence in the Bylaws as to these matters, ICANN’s designators possess rights to:</w:t>
      </w:r>
    </w:p>
    <w:p w:rsidR="00375ACE" w:rsidRDefault="00CD2C40">
      <w:pPr>
        <w:pStyle w:val="ListBullet3"/>
      </w:pPr>
      <w:r>
        <w:t>Reject a Board removal without cause of the directors the</w:t>
      </w:r>
      <w:r>
        <w:t xml:space="preserve">y designate, and </w:t>
      </w:r>
    </w:p>
    <w:p w:rsidR="00375ACE" w:rsidRDefault="00CD2C40">
      <w:pPr>
        <w:pStyle w:val="ListBullet3"/>
      </w:pPr>
      <w:r>
        <w:t xml:space="preserve">Directly remove such a director themselves. </w:t>
      </w:r>
    </w:p>
    <w:p w:rsidR="00375ACE" w:rsidRDefault="00CD2C40">
      <w:pPr>
        <w:pStyle w:val="BodyTextFirstIndent"/>
        <w:ind w:firstLine="0"/>
      </w:pPr>
      <w:r>
        <w:t>These rights are protected by statute.</w:t>
      </w:r>
    </w:p>
    <w:p w:rsidR="00375ACE" w:rsidRDefault="00CD2C40">
      <w:pPr>
        <w:pStyle w:val="BodyTextFirstIndent"/>
      </w:pPr>
      <w:r>
        <w:t xml:space="preserve">Regarding vacancies on the Board created by removal, death, or resignation, the ICANN Bylaws (Article VI.12) provide that if the director was selected by </w:t>
      </w:r>
      <w:r>
        <w:t xml:space="preserve">an SO, that SO fills the </w:t>
      </w:r>
      <w:r>
        <w:lastRenderedPageBreak/>
        <w:t>vacancy.  All other vacancies are filled by the NomCom.</w:t>
      </w:r>
      <w:r>
        <w:rPr>
          <w:rStyle w:val="FootnoteReference"/>
          <w:color w:val="000000" w:themeColor="text1"/>
        </w:rPr>
        <w:footnoteReference w:id="13"/>
      </w:r>
      <w:r>
        <w:t xml:space="preserve">  This is generally consistent with California Code Section 5222(e</w:t>
      </w:r>
      <w:proofErr w:type="gramStart"/>
      <w:r>
        <w:t>)(</w:t>
      </w:r>
      <w:proofErr w:type="gramEnd"/>
      <w:r>
        <w:t>1) which states that if a removed director was chosen by designation, and a bylaw provision allows a different person to be designated, a new designation shall be made.</w:t>
      </w:r>
    </w:p>
    <w:p w:rsidR="00375ACE" w:rsidRDefault="00CD2C40">
      <w:pPr>
        <w:pStyle w:val="TitleLeft"/>
      </w:pPr>
      <w:r>
        <w:t>Protection of Desig</w:t>
      </w:r>
      <w:r>
        <w:t>nator Rights and Powers</w:t>
      </w:r>
    </w:p>
    <w:p w:rsidR="00375ACE" w:rsidRDefault="00CD2C40">
      <w:pPr>
        <w:pStyle w:val="BodyTextFirstIndent"/>
      </w:pPr>
      <w:r>
        <w:t>California Code Section 5150 permits a nonprofit public benefit corporation like ICANN, including one with designators, to constrain its bylaw amendment process so that the amendment or repeal of the entire bylaws, or specified port</w:t>
      </w:r>
      <w:r>
        <w:t>ions of the bylaws “...may occur only with the approval in writing of a specified person or persons other than the board or members.”</w:t>
      </w:r>
    </w:p>
    <w:p w:rsidR="00375ACE" w:rsidRDefault="00CD2C40">
      <w:pPr>
        <w:pStyle w:val="BodyTextFirstIndent"/>
      </w:pPr>
      <w:r>
        <w:t>The ICANN Bylaws, Article XIX, generally allow the Bylaws to be altered, amended, or repealed by a 2/3 vote of all members</w:t>
      </w:r>
      <w:r>
        <w:t xml:space="preserve"> of the Board.   No special provision is made for those parts of the Bylaws that confer designator rights and powers on the SOs, ALAC, and the other groups that have voting rights within the NomCom.  That means that currently the Board could eliminate the </w:t>
      </w:r>
      <w:r>
        <w:t>rights of one or all of the current designators and the designators would have no recourse.  It is a more common practice for bylaws to protect designator status from unilateral board action by requiring all or at least a majority of the designators to con</w:t>
      </w:r>
      <w:r>
        <w:t>sent to a bylaw amendment affecting their rights or powers.</w:t>
      </w:r>
    </w:p>
    <w:p w:rsidR="00375ACE" w:rsidRDefault="00CD2C40">
      <w:pPr>
        <w:pStyle w:val="TitleLeft"/>
      </w:pPr>
      <w:r>
        <w:t>Conclusion</w:t>
      </w:r>
    </w:p>
    <w:p w:rsidR="00375ACE" w:rsidRDefault="00CD2C40">
      <w:pPr>
        <w:pStyle w:val="BodyTextFirstIndent"/>
      </w:pPr>
      <w:r>
        <w:t>We believe that the best interpretation of the ICANN Bylaws is that ICANN functions under a designator model, for which the Code prescribes certain statutory rights and powers to design</w:t>
      </w:r>
      <w:r>
        <w:t>ators that cannot be taken away as long as the ICANN Bylaws give director selection powers to identified stakeholder groups, acting separately or collectively.</w:t>
      </w:r>
    </w:p>
    <w:p w:rsidR="00375ACE" w:rsidRDefault="00CD2C40">
      <w:pPr>
        <w:pStyle w:val="BodyTextFirstIndent"/>
      </w:pPr>
      <w:r>
        <w:t>We believe that the designator structure currently set forth in the ICANN Bylaws has several ser</w:t>
      </w:r>
      <w:r>
        <w:t>ious gaps that expose ICANN to potential legal challenge and associated instability.  These arise because although the Bylaws provide designator rights, the Bylaws do not specifically expressly acknowledge the legal position of the SOs, ALAC, and the NomCo</w:t>
      </w:r>
      <w:r>
        <w:t xml:space="preserve">m as designators under California corporate law.  While we believe that is the best interpretation of these Bylaws and the state statutes and the most likely outcome of a court test, a dispute on that issue could be very protracted, taking months or years </w:t>
      </w:r>
      <w:r>
        <w:t>to resolve</w:t>
      </w:r>
      <w:r>
        <w:t xml:space="preserve">, </w:t>
      </w:r>
      <w:r>
        <w:t xml:space="preserve">including the possibility of </w:t>
      </w:r>
      <w:r>
        <w:t>trial and appellate proceedings</w:t>
      </w:r>
      <w:r>
        <w:t>,</w:t>
      </w:r>
      <w:r>
        <w:t xml:space="preserve"> before a final decision is rendered.</w:t>
      </w:r>
      <w:r>
        <w:rPr>
          <w:rStyle w:val="FootnoteReference"/>
        </w:rPr>
        <w:footnoteReference w:id="14"/>
      </w:r>
      <w:r>
        <w:t xml:space="preserve">  </w:t>
      </w:r>
      <w:r>
        <w:t>Such a suit could arise, f</w:t>
      </w:r>
      <w:r>
        <w:t>or example</w:t>
      </w:r>
      <w:r>
        <w:t>, if the Board tried to r</w:t>
      </w:r>
      <w:r>
        <w:t>emove a director selected by an SO or ALAC as the Bylaws contemplate but without t</w:t>
      </w:r>
      <w:r>
        <w:t>hat appointing body’s consent as required by statute, or if an SO or ALAC tried to remove a director i</w:t>
      </w:r>
      <w:r>
        <w:t>t appointed as the statute contemplates even though that right is not mentioned in the Bylaws.</w:t>
      </w:r>
    </w:p>
    <w:p w:rsidR="00375ACE" w:rsidRDefault="00CD2C40">
      <w:pPr>
        <w:rPr>
          <w:color w:val="000000" w:themeColor="text1"/>
        </w:rPr>
      </w:pPr>
      <w:bookmarkStart w:id="8" w:name="_BPDC_LN_INS_1004"/>
      <w:bookmarkEnd w:id="8"/>
      <w:r>
        <w:rPr>
          <w:color w:val="000000" w:themeColor="text1"/>
        </w:rPr>
        <w:lastRenderedPageBreak/>
        <w:tab/>
      </w:r>
      <w:bookmarkStart w:id="9" w:name="_BPDC_LN_INS_1003"/>
      <w:bookmarkStart w:id="10" w:name="_BPDC_LN_INS_1002"/>
      <w:bookmarkStart w:id="11" w:name="_BPDC_LN_INS_1001"/>
      <w:bookmarkEnd w:id="9"/>
      <w:bookmarkEnd w:id="10"/>
      <w:bookmarkEnd w:id="11"/>
      <w:r>
        <w:t>Whether ICANN moves to a member model or keeps and improve</w:t>
      </w:r>
      <w:r>
        <w:t>s its designator model, these gaps should be addressed.  For the benefit of both ICANN and the multi-stakeholder community, the Bylaws should be clear on how the separate and collective rights and powers related to selection, removal, and replacement of di</w:t>
      </w:r>
      <w:r>
        <w:t>rectors given to the ten groups are to be exercised and protected, consistent with California corporate law.  ICANN may have a corporate structure that is innovative, expansive, and adaptive, but the Bylaws must be firmly grounded in the existing Californi</w:t>
      </w:r>
      <w:r>
        <w:t>a nonprofit statutory framework to minimize the disruptive effect of conflicting interpretations.</w:t>
      </w:r>
    </w:p>
    <w:sectPr w:rsidR="00375ACE">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C40" w:rsidRDefault="00CD2C40">
      <w:r>
        <w:separator/>
      </w:r>
    </w:p>
  </w:endnote>
  <w:endnote w:type="continuationSeparator" w:id="0">
    <w:p w:rsidR="00CD2C40" w:rsidRDefault="00CD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78" w:rsidRDefault="00CD2C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CE" w:rsidRPr="0012640A" w:rsidRDefault="00CD2C40" w:rsidP="0012640A">
    <w:pPr>
      <w:pStyle w:val="Footer"/>
      <w:jc w:val="center"/>
      <w:rPr>
        <w:sz w:val="24"/>
      </w:rPr>
    </w:pPr>
    <w:r w:rsidRPr="0012176F">
      <w:rPr>
        <w:noProof/>
      </w:rPr>
      <w:t>{00721947.DOCX; 1}</w:t>
    </w:r>
    <w:r w:rsidRPr="0012640A">
      <w:rPr>
        <w:sz w:val="24"/>
      </w:rPr>
      <w:fldChar w:fldCharType="begin"/>
    </w:r>
    <w:r w:rsidRPr="0012640A">
      <w:rPr>
        <w:sz w:val="24"/>
      </w:rPr>
      <w:instrText xml:space="preserve"> PAGE   \* MERGEFORMAT </w:instrText>
    </w:r>
    <w:r w:rsidRPr="0012640A">
      <w:rPr>
        <w:sz w:val="24"/>
      </w:rPr>
      <w:fldChar w:fldCharType="separate"/>
    </w:r>
    <w:r w:rsidR="008B5EDC">
      <w:rPr>
        <w:noProof/>
        <w:sz w:val="24"/>
      </w:rPr>
      <w:t>6</w:t>
    </w:r>
    <w:r w:rsidRPr="0012640A">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CE" w:rsidRDefault="00CD2C40">
    <w:pPr>
      <w:pStyle w:val="Footer"/>
    </w:pPr>
    <w:r w:rsidRPr="0012176F">
      <w:rPr>
        <w:rStyle w:val="DocID"/>
        <w:noProof/>
        <w:sz w:val="16"/>
      </w:rPr>
      <w:t>{00721947.DOCX; 1}</w:t>
    </w:r>
    <w:r>
      <w:rPr>
        <w:rStyle w:val="DocID"/>
      </w:rPr>
      <w:t xml:space="preserve">ACTIVE </w:t>
    </w:r>
    <w:r>
      <w:rPr>
        <w:rStyle w:val="DocID"/>
      </w:rPr>
      <w:t>210389087v.5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C40" w:rsidRDefault="00CD2C40">
      <w:pPr>
        <w:rPr>
          <w:noProof/>
        </w:rPr>
      </w:pPr>
      <w:r>
        <w:rPr>
          <w:noProof/>
        </w:rPr>
        <w:separator/>
      </w:r>
    </w:p>
  </w:footnote>
  <w:footnote w:type="continuationSeparator" w:id="0">
    <w:p w:rsidR="00CD2C40" w:rsidRDefault="00CD2C40">
      <w:r>
        <w:continuationSeparator/>
      </w:r>
    </w:p>
  </w:footnote>
  <w:footnote w:id="1">
    <w:p w:rsidR="00375ACE" w:rsidRPr="0012176F" w:rsidRDefault="00CD2C40">
      <w:pPr>
        <w:pStyle w:val="TitleLeft"/>
        <w:rPr>
          <w:b w:val="0"/>
        </w:rPr>
      </w:pPr>
      <w:r>
        <w:rPr>
          <w:rStyle w:val="FootnoteReference"/>
          <w:b w:val="0"/>
          <w:sz w:val="18"/>
          <w:szCs w:val="18"/>
        </w:rPr>
        <w:footnoteRef/>
      </w:r>
      <w:r>
        <w:rPr>
          <w:b w:val="0"/>
          <w:sz w:val="18"/>
          <w:szCs w:val="18"/>
        </w:rPr>
        <w:t xml:space="preserve"> </w:t>
      </w:r>
      <w:r w:rsidRPr="0012176F">
        <w:rPr>
          <w:b w:val="0"/>
          <w:sz w:val="18"/>
          <w:szCs w:val="18"/>
        </w:rPr>
        <w:t>Note as a general matter that our legal analysis is provided on a level in keeping with the question posed.  Our legal</w:t>
      </w:r>
      <w:r w:rsidRPr="0012176F">
        <w:rPr>
          <w:b w:val="0"/>
          <w:sz w:val="18"/>
          <w:szCs w:val="18"/>
        </w:rPr>
        <w:t xml:space="preserve"> analysis</w:t>
      </w:r>
      <w:r w:rsidRPr="0012176F">
        <w:rPr>
          <w:b w:val="0"/>
          <w:sz w:val="18"/>
          <w:szCs w:val="18"/>
        </w:rPr>
        <w:t xml:space="preserve"> is tailored to the context in which the particular question arises.  It is provided to inform and help facilitate your consideration of the governance accountability models under discussion and should not be relied upon by any other persons or groups for </w:t>
      </w:r>
      <w:r w:rsidRPr="0012176F">
        <w:rPr>
          <w:b w:val="0"/>
          <w:sz w:val="18"/>
          <w:szCs w:val="18"/>
        </w:rPr>
        <w:t xml:space="preserve">any other purpose.  Unless otherwise stated, our legal analysis is based on California law and in particular the laws governing California nonprofit public benefit corporations (California Corporations Code, Title 1, </w:t>
      </w:r>
      <w:proofErr w:type="gramStart"/>
      <w:r w:rsidRPr="0012176F">
        <w:rPr>
          <w:b w:val="0"/>
          <w:sz w:val="18"/>
          <w:szCs w:val="18"/>
        </w:rPr>
        <w:t>Division</w:t>
      </w:r>
      <w:proofErr w:type="gramEnd"/>
      <w:r w:rsidRPr="0012176F">
        <w:rPr>
          <w:b w:val="0"/>
          <w:sz w:val="18"/>
          <w:szCs w:val="18"/>
        </w:rPr>
        <w:t xml:space="preserve"> 2).  In our effort to respond </w:t>
      </w:r>
      <w:r w:rsidRPr="0012176F">
        <w:rPr>
          <w:b w:val="0"/>
          <w:sz w:val="18"/>
          <w:szCs w:val="18"/>
        </w:rPr>
        <w:t>in a limited time frame, we may not have completely identified, researched and addressed all potential implications and nuances involved.</w:t>
      </w:r>
    </w:p>
  </w:footnote>
  <w:footnote w:id="2">
    <w:p w:rsidR="00375ACE" w:rsidRDefault="00CD2C40">
      <w:pPr>
        <w:pStyle w:val="FootnoteText"/>
      </w:pPr>
      <w:r>
        <w:rPr>
          <w:rStyle w:val="FootnoteReference"/>
        </w:rPr>
        <w:footnoteRef/>
      </w:r>
      <w:r>
        <w:t xml:space="preserve"> Memos from the firm of </w:t>
      </w:r>
      <w:proofErr w:type="spellStart"/>
      <w:r>
        <w:t>Caplin</w:t>
      </w:r>
      <w:proofErr w:type="spellEnd"/>
      <w:r>
        <w:t xml:space="preserve"> &amp; Drysdale, which has a prominent practice in tax-exempt organization law, addressed t</w:t>
      </w:r>
      <w:r>
        <w:t xml:space="preserve">o the American Registry for Internet Numbers (ARIN), dated March 31, May 25, and July 15, 2015, reach a similar conclusion: ICANN’s current Bylaws contain designator rights and powers for the ASO as well as for the other SOs, ALAC, and the NomCom, but the </w:t>
      </w:r>
      <w:r>
        <w:t>ICANN Bylaws should be amended to clarify those rights under California corporate law.</w:t>
      </w:r>
    </w:p>
  </w:footnote>
  <w:footnote w:id="3">
    <w:p w:rsidR="00375ACE" w:rsidRDefault="00CD2C40">
      <w:pPr>
        <w:pStyle w:val="FootnoteText"/>
      </w:pPr>
      <w:r>
        <w:rPr>
          <w:rStyle w:val="FootnoteReference"/>
        </w:rPr>
        <w:footnoteRef/>
      </w:r>
      <w:r>
        <w:t xml:space="preserve"> E-mail from Steve Crocker, Chair of the ICANN Board of Directors to CCWG-Accountability</w:t>
      </w:r>
      <w:proofErr w:type="gramStart"/>
      <w:r>
        <w:t>,  “</w:t>
      </w:r>
      <w:proofErr w:type="gramEnd"/>
      <w:r>
        <w:t>Message from ICANN Board re Designator Model,” October 5, 2015. (“The Design</w:t>
      </w:r>
      <w:r>
        <w:t>ator model still introduces a new legal structure with powers that are intrinsically beyond the structure we have been using.  We understand that many believe it is possible to constrain these powers in order to provide established protections, accountabil</w:t>
      </w:r>
      <w:r>
        <w:t>ity and thresholds: This is unproven territory and will require more detail and time to understand and test the impact on our bedrock multi-stakeholder balance.”)</w:t>
      </w:r>
    </w:p>
  </w:footnote>
  <w:footnote w:id="4">
    <w:p w:rsidR="00375ACE" w:rsidRDefault="00CD2C40">
      <w:pPr>
        <w:pStyle w:val="FootnoteText"/>
      </w:pPr>
      <w:r>
        <w:rPr>
          <w:rStyle w:val="FootnoteReference"/>
        </w:rPr>
        <w:footnoteRef/>
      </w:r>
      <w:r>
        <w:t xml:space="preserve"> </w:t>
      </w:r>
      <w:r>
        <w:rPr>
          <w:color w:val="000000" w:themeColor="text1"/>
        </w:rPr>
        <w:t xml:space="preserve">California Corporations Code (the “Code”) </w:t>
      </w:r>
      <w:r>
        <w:t>Sections 5056 and 5510(b)</w:t>
      </w:r>
      <w:proofErr w:type="gramStart"/>
      <w:r>
        <w:t>..</w:t>
      </w:r>
      <w:proofErr w:type="gramEnd"/>
      <w:r>
        <w:t xml:space="preserve">  </w:t>
      </w:r>
    </w:p>
  </w:footnote>
  <w:footnote w:id="5">
    <w:p w:rsidR="00375ACE" w:rsidRDefault="00CD2C40">
      <w:pPr>
        <w:pStyle w:val="FootnoteText"/>
      </w:pPr>
      <w:r>
        <w:rPr>
          <w:rStyle w:val="FootnoteReference"/>
        </w:rPr>
        <w:footnoteRef/>
      </w:r>
      <w:r>
        <w:t xml:space="preserve">  Code Section 531</w:t>
      </w:r>
      <w:r>
        <w:t xml:space="preserve">0(b). </w:t>
      </w:r>
    </w:p>
  </w:footnote>
  <w:footnote w:id="6">
    <w:p w:rsidR="00375ACE" w:rsidRDefault="00CD2C40">
      <w:pPr>
        <w:pStyle w:val="FootnoteText"/>
      </w:pPr>
      <w:r>
        <w:rPr>
          <w:rStyle w:val="FootnoteReference"/>
        </w:rPr>
        <w:footnoteRef/>
      </w:r>
      <w:r>
        <w:t xml:space="preserve"> </w:t>
      </w:r>
      <w:r>
        <w:rPr>
          <w:color w:val="000000" w:themeColor="text1"/>
        </w:rPr>
        <w:t xml:space="preserve">Section 5220(d) of </w:t>
      </w:r>
      <w:proofErr w:type="gramStart"/>
      <w:r>
        <w:rPr>
          <w:color w:val="000000" w:themeColor="text1"/>
        </w:rPr>
        <w:t>the  Code</w:t>
      </w:r>
      <w:proofErr w:type="gramEnd"/>
      <w:r>
        <w:rPr>
          <w:color w:val="000000" w:themeColor="text1"/>
        </w:rPr>
        <w:t xml:space="preserve"> provides:  “[A]</w:t>
      </w:r>
      <w:proofErr w:type="spellStart"/>
      <w:r>
        <w:rPr>
          <w:color w:val="000000" w:themeColor="text1"/>
        </w:rPr>
        <w:t>ll</w:t>
      </w:r>
      <w:proofErr w:type="spellEnd"/>
      <w:r>
        <w:rPr>
          <w:color w:val="000000" w:themeColor="text1"/>
        </w:rPr>
        <w:t xml:space="preserve"> or any portion of the directors authorized in the articles or bylaws of a corporation may hold office by virtue of </w:t>
      </w:r>
      <w:r>
        <w:rPr>
          <w:i/>
          <w:color w:val="000000" w:themeColor="text1"/>
        </w:rPr>
        <w:t>designation or selection by a specified designator</w:t>
      </w:r>
      <w:r>
        <w:rPr>
          <w:color w:val="000000" w:themeColor="text1"/>
        </w:rPr>
        <w:t xml:space="preserve"> as provided by the articles or byl</w:t>
      </w:r>
      <w:r>
        <w:rPr>
          <w:color w:val="000000" w:themeColor="text1"/>
        </w:rPr>
        <w:t>aws rather than by election [by the board or the members].”  (Emphasis added.)</w:t>
      </w:r>
    </w:p>
  </w:footnote>
  <w:footnote w:id="7">
    <w:p w:rsidR="00375ACE" w:rsidRDefault="00CD2C40">
      <w:pPr>
        <w:pStyle w:val="FootnoteText"/>
      </w:pPr>
      <w:r>
        <w:rPr>
          <w:rStyle w:val="FootnoteReference"/>
        </w:rPr>
        <w:footnoteRef/>
      </w:r>
      <w:r>
        <w:t xml:space="preserve"> </w:t>
      </w:r>
      <w:r>
        <w:rPr>
          <w:color w:val="000000" w:themeColor="text1"/>
        </w:rPr>
        <w:t>Section 5222(f) of the Code provides: “If by the provisions of the articles or bylaws a designator is entitled to designate one or more directors, then: (1) Unless otherwise p</w:t>
      </w:r>
      <w:r>
        <w:rPr>
          <w:color w:val="000000" w:themeColor="text1"/>
        </w:rPr>
        <w:t xml:space="preserve">rovided in the articles or bylaws at the time of designation, any director so designated may be removed without cause by the designator of that director.  (2) </w:t>
      </w:r>
      <w:proofErr w:type="gramStart"/>
      <w:r>
        <w:rPr>
          <w:color w:val="000000" w:themeColor="text1"/>
        </w:rPr>
        <w:t>Any</w:t>
      </w:r>
      <w:proofErr w:type="gramEnd"/>
      <w:r>
        <w:rPr>
          <w:color w:val="000000" w:themeColor="text1"/>
        </w:rPr>
        <w:t xml:space="preserve"> director so designated may only be removed under subdivision (a) with the written consent of </w:t>
      </w:r>
      <w:r>
        <w:rPr>
          <w:color w:val="000000" w:themeColor="text1"/>
        </w:rPr>
        <w:t>the designator of that director.”</w:t>
      </w:r>
    </w:p>
  </w:footnote>
  <w:footnote w:id="8">
    <w:p w:rsidR="00375ACE" w:rsidRDefault="00CD2C40">
      <w:pPr>
        <w:pStyle w:val="FootnoteText"/>
      </w:pPr>
      <w:r>
        <w:rPr>
          <w:rStyle w:val="FootnoteReference"/>
        </w:rPr>
        <w:footnoteRef/>
      </w:r>
      <w:r>
        <w:t xml:space="preserve"> For example: “The Directors shall consist of: ... b. Two voting members selected by the Address Supporting Organization according to the provisions of Article VIII of these Bylaws.”</w:t>
      </w:r>
    </w:p>
  </w:footnote>
  <w:footnote w:id="9">
    <w:p w:rsidR="00375ACE" w:rsidRDefault="00CD2C40">
      <w:pPr>
        <w:pStyle w:val="FootnoteText"/>
      </w:pPr>
      <w:r>
        <w:rPr>
          <w:rStyle w:val="FootnoteReference"/>
        </w:rPr>
        <w:footnoteRef/>
      </w:r>
      <w:r>
        <w:t xml:space="preserve"> The term “nominating committee” is n</w:t>
      </w:r>
      <w:r>
        <w:t>ot defined and has no legal import under the California Code.  Commonly the term is used to refer to a body that recommends candidates to another body or authority that makes the final choice of directors from among them.  Under the ICANN Bylaws, the NomCo</w:t>
      </w:r>
      <w:r>
        <w:t>m actually makes the final selection of the eight directors; no confirmation by anyone else is required.  The label “Nominating” seems to be a misnomer.</w:t>
      </w:r>
    </w:p>
  </w:footnote>
  <w:footnote w:id="10">
    <w:p w:rsidR="00375ACE" w:rsidRDefault="00CD2C40">
      <w:pPr>
        <w:pStyle w:val="FootnoteText"/>
      </w:pPr>
      <w:r>
        <w:rPr>
          <w:rStyle w:val="FootnoteReference"/>
        </w:rPr>
        <w:footnoteRef/>
      </w:r>
      <w:r>
        <w:t xml:space="preserve"> The </w:t>
      </w:r>
      <w:proofErr w:type="spellStart"/>
      <w:r>
        <w:t>NomCom’s</w:t>
      </w:r>
      <w:proofErr w:type="spellEnd"/>
      <w:r>
        <w:t xml:space="preserve"> selection process includes participation by five non-voting liaisons, two appointed by t</w:t>
      </w:r>
      <w:r>
        <w:t>he ICANN Board (Committee Chair and Chair-Elect), and one from each of the Root Server System Advisory Committee (RSSAC), the Security and Stability Advisory Committee (SSAC), and the Governmental Advisory Committee (GAC).</w:t>
      </w:r>
    </w:p>
  </w:footnote>
  <w:footnote w:id="11">
    <w:p w:rsidR="00375ACE" w:rsidRDefault="00CD2C40">
      <w:pPr>
        <w:pStyle w:val="FootnoteText"/>
      </w:pPr>
      <w:r>
        <w:rPr>
          <w:rStyle w:val="FootnoteReference"/>
        </w:rPr>
        <w:footnoteRef/>
      </w:r>
      <w:r>
        <w:t xml:space="preserve"> Code Section 5056(d) also provi</w:t>
      </w:r>
      <w:r>
        <w:t>des that a person is not a member by virtue of having rights as a delegate (representing members) or as a director, circumstances that are not pertinent here.</w:t>
      </w:r>
    </w:p>
  </w:footnote>
  <w:footnote w:id="12">
    <w:p w:rsidR="00375ACE" w:rsidRDefault="00CD2C40">
      <w:pPr>
        <w:pStyle w:val="FootnoteText"/>
      </w:pPr>
      <w:r>
        <w:rPr>
          <w:rStyle w:val="FootnoteReference"/>
        </w:rPr>
        <w:footnoteRef/>
      </w:r>
      <w:r>
        <w:t xml:space="preserve"> No notice is specified in Section 11, Article VI, of the ICANN Bylaws to be given to the NomCom</w:t>
      </w:r>
      <w:r>
        <w:t xml:space="preserve"> where the director in question was designated by the NomCom.</w:t>
      </w:r>
    </w:p>
  </w:footnote>
  <w:footnote w:id="13">
    <w:p w:rsidR="00375ACE" w:rsidRDefault="00CD2C40">
      <w:pPr>
        <w:pStyle w:val="FootnoteText"/>
      </w:pPr>
      <w:r>
        <w:rPr>
          <w:rStyle w:val="FootnoteReference"/>
        </w:rPr>
        <w:footnoteRef/>
      </w:r>
      <w:r>
        <w:t xml:space="preserve"> The exception is the President, who would be replaced by Board election of a new President.  The Bylaws do not say that a vacancy in the seat selected by ALAC would be filled by ALAC; by defau</w:t>
      </w:r>
      <w:r>
        <w:t>lt, then, the vacant ALAC seat would be filled by the NomCom (we do not know if this was intended or the result of an oversight).</w:t>
      </w:r>
    </w:p>
  </w:footnote>
  <w:footnote w:id="14">
    <w:p w:rsidR="00E57DD4" w:rsidRDefault="00CD2C40">
      <w:pPr>
        <w:pStyle w:val="FootnoteText"/>
        <w:rPr>
          <w:u w:val="single"/>
        </w:rPr>
      </w:pPr>
      <w:r>
        <w:rPr>
          <w:rStyle w:val="FootnoteReference"/>
        </w:rPr>
        <w:footnoteRef/>
      </w:r>
      <w:r>
        <w:t xml:space="preserve"> </w:t>
      </w:r>
      <w:r w:rsidRPr="0012176F">
        <w:t>The legal personhood status of each of the designators is also unclear, under the Bylaws or otherwise, creating further unce</w:t>
      </w:r>
      <w:r w:rsidRPr="0012176F">
        <w:t>rtainty in the legal outcome.  The Code is ambiguous concerning whether designators must be legal persons; in any event, they must be legal persons to be able to bring suit to enforce their designator rights.</w:t>
      </w:r>
      <w:r>
        <w:rPr>
          <w:u w:val="single"/>
        </w:rPr>
        <w:t xml:space="preserve"> </w:t>
      </w:r>
    </w:p>
    <w:p w:rsidR="00E57DD4" w:rsidRDefault="00CD2C4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78" w:rsidRDefault="00CD2C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78" w:rsidRDefault="00CD2C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CE" w:rsidRDefault="00CD2C40">
    <w:pPr>
      <w:pStyle w:val="Header"/>
    </w:pPr>
    <w:r>
      <w:rPr>
        <w:noProof/>
      </w:rPr>
      <w:drawing>
        <wp:inline distT="0" distB="0" distL="0" distR="0">
          <wp:extent cx="1600200" cy="4445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00200" cy="444500"/>
                  </a:xfrm>
                  <a:prstGeom prst="rect">
                    <a:avLst/>
                  </a:prstGeom>
                  <a:noFill/>
                  <a:ln w="9525">
                    <a:noFill/>
                    <a:miter lim="800000"/>
                    <a:headEnd/>
                    <a:tailEnd/>
                  </a:ln>
                </pic:spPr>
              </pic:pic>
            </a:graphicData>
          </a:graphic>
        </wp:inline>
      </w:drawing>
    </w:r>
    <w:r>
      <w:tab/>
    </w:r>
    <w:r>
      <w:tab/>
    </w:r>
    <w:r>
      <w:tab/>
    </w:r>
    <w:r>
      <w:tab/>
    </w:r>
    <w:r>
      <w:tab/>
    </w:r>
    <w:r>
      <w:tab/>
    </w:r>
    <w:r>
      <w:rPr>
        <w:noProof/>
      </w:rPr>
      <w:drawing>
        <wp:inline distT="0" distB="0" distL="0" distR="0">
          <wp:extent cx="1552575" cy="578020"/>
          <wp:effectExtent l="19050" t="0" r="9525" b="0"/>
          <wp:docPr id="2" name="Picture 2"/>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 cstate="print"/>
                  <a:srcRect/>
                  <a:stretch>
                    <a:fillRect/>
                  </a:stretch>
                </pic:blipFill>
                <pic:spPr bwMode="auto">
                  <a:xfrm>
                    <a:off x="0" y="0"/>
                    <a:ext cx="1555436" cy="5790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20F1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EE5A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AC55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C408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B2A8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3BE6E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1858C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8CF6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0E6D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F83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6548C"/>
    <w:multiLevelType w:val="multilevel"/>
    <w:tmpl w:val="C5F85496"/>
    <w:lvl w:ilvl="0">
      <w:start w:val="1"/>
      <w:numFmt w:val="upperRoman"/>
      <w:pStyle w:val="Heading1"/>
      <w:suff w:val="nothing"/>
      <w:lvlText w:val="Article %1"/>
      <w:lvlJc w:val="left"/>
      <w:pPr>
        <w:ind w:left="0" w:firstLine="0"/>
      </w:pPr>
      <w:rPr>
        <w:rFonts w:hint="default"/>
      </w:rPr>
    </w:lvl>
    <w:lvl w:ilvl="1">
      <w:start w:val="1"/>
      <w:numFmt w:val="decimal"/>
      <w:pStyle w:val="Heading2"/>
      <w:lvlText w:val="Section %2."/>
      <w:lvlJc w:val="left"/>
      <w:pPr>
        <w:tabs>
          <w:tab w:val="num" w:pos="2232"/>
        </w:tabs>
        <w:ind w:left="0" w:firstLine="1440"/>
      </w:pPr>
      <w:rPr>
        <w:rFonts w:hint="default"/>
      </w:rPr>
    </w:lvl>
    <w:lvl w:ilvl="2">
      <w:start w:val="1"/>
      <w:numFmt w:val="lowerLetter"/>
      <w:pStyle w:val="Heading3"/>
      <w:lvlText w:val="(%3)"/>
      <w:lvlJc w:val="left"/>
      <w:pPr>
        <w:tabs>
          <w:tab w:val="num" w:pos="2160"/>
        </w:tabs>
        <w:ind w:left="0" w:firstLine="1440"/>
      </w:pPr>
      <w:rPr>
        <w:rFonts w:hint="default"/>
      </w:rPr>
    </w:lvl>
    <w:lvl w:ilvl="3">
      <w:start w:val="1"/>
      <w:numFmt w:val="lowerRoman"/>
      <w:pStyle w:val="Heading4"/>
      <w:lvlText w:val="(%4)"/>
      <w:lvlJc w:val="left"/>
      <w:pPr>
        <w:tabs>
          <w:tab w:val="num" w:pos="1440"/>
        </w:tabs>
        <w:ind w:left="0" w:firstLine="1440"/>
      </w:pPr>
      <w:rPr>
        <w:rFonts w:hint="default"/>
      </w:rPr>
    </w:lvl>
    <w:lvl w:ilvl="4">
      <w:start w:val="1"/>
      <w:numFmt w:val="upperLetter"/>
      <w:lvlRestart w:val="0"/>
      <w:pStyle w:val="Heading5"/>
      <w:lvlText w:val="%5."/>
      <w:lvlJc w:val="left"/>
      <w:pPr>
        <w:tabs>
          <w:tab w:val="num" w:pos="1440"/>
        </w:tabs>
        <w:ind w:left="0" w:firstLine="1440"/>
      </w:pPr>
      <w:rPr>
        <w:rFonts w:hint="default"/>
      </w:rPr>
    </w:lvl>
    <w:lvl w:ilvl="5">
      <w:start w:val="1"/>
      <w:numFmt w:val="lowerLetter"/>
      <w:pStyle w:val="Heading6"/>
      <w:lvlText w:val="%6)"/>
      <w:lvlJc w:val="left"/>
      <w:pPr>
        <w:tabs>
          <w:tab w:val="num" w:pos="2304"/>
        </w:tabs>
        <w:ind w:left="2304" w:hanging="432"/>
      </w:pPr>
      <w:rPr>
        <w:rFonts w:hint="default"/>
      </w:rPr>
    </w:lvl>
    <w:lvl w:ilvl="6">
      <w:start w:val="1"/>
      <w:numFmt w:val="lowerRoman"/>
      <w:pStyle w:val="Heading7"/>
      <w:lvlText w:val="%7."/>
      <w:lvlJc w:val="right"/>
      <w:pPr>
        <w:tabs>
          <w:tab w:val="num" w:pos="2880"/>
        </w:tabs>
        <w:ind w:left="0" w:firstLine="2160"/>
      </w:pPr>
      <w:rPr>
        <w:rFonts w:hint="default"/>
      </w:rPr>
    </w:lvl>
    <w:lvl w:ilvl="7">
      <w:start w:val="1"/>
      <w:numFmt w:val="lowerLetter"/>
      <w:pStyle w:val="Heading8"/>
      <w:lvlText w:val="%8."/>
      <w:lvlJc w:val="left"/>
      <w:pPr>
        <w:tabs>
          <w:tab w:val="num" w:pos="2592"/>
        </w:tabs>
        <w:ind w:left="2592" w:hanging="432"/>
      </w:pPr>
      <w:rPr>
        <w:rFonts w:hint="default"/>
      </w:rPr>
    </w:lvl>
    <w:lvl w:ilvl="8">
      <w:start w:val="1"/>
      <w:numFmt w:val="lowerRoman"/>
      <w:lvlText w:val="%9."/>
      <w:lvlJc w:val="right"/>
      <w:pPr>
        <w:tabs>
          <w:tab w:val="num" w:pos="2736"/>
        </w:tabs>
        <w:ind w:left="2736" w:hanging="144"/>
      </w:pPr>
      <w:rPr>
        <w:rFonts w:hint="default"/>
      </w:rPr>
    </w:lvl>
  </w:abstractNum>
  <w:abstractNum w:abstractNumId="11" w15:restartNumberingAfterBreak="0">
    <w:nsid w:val="124B0ABE"/>
    <w:multiLevelType w:val="hybridMultilevel"/>
    <w:tmpl w:val="77D24600"/>
    <w:lvl w:ilvl="0" w:tplc="2B5E26BC">
      <w:start w:val="1"/>
      <w:numFmt w:val="lowerLetter"/>
      <w:lvlText w:val="(%1)"/>
      <w:lvlJc w:val="left"/>
      <w:pPr>
        <w:ind w:left="1080" w:hanging="360"/>
      </w:pPr>
      <w:rPr>
        <w:rFonts w:hint="default"/>
      </w:rPr>
    </w:lvl>
    <w:lvl w:ilvl="1" w:tplc="87C4CA0A" w:tentative="1">
      <w:start w:val="1"/>
      <w:numFmt w:val="lowerLetter"/>
      <w:lvlText w:val="%2."/>
      <w:lvlJc w:val="left"/>
      <w:pPr>
        <w:ind w:left="1440" w:hanging="360"/>
      </w:pPr>
    </w:lvl>
    <w:lvl w:ilvl="2" w:tplc="93E2C264" w:tentative="1">
      <w:start w:val="1"/>
      <w:numFmt w:val="lowerRoman"/>
      <w:lvlText w:val="%3."/>
      <w:lvlJc w:val="right"/>
      <w:pPr>
        <w:ind w:left="2160" w:hanging="180"/>
      </w:pPr>
    </w:lvl>
    <w:lvl w:ilvl="3" w:tplc="305EE2A4" w:tentative="1">
      <w:start w:val="1"/>
      <w:numFmt w:val="decimal"/>
      <w:lvlText w:val="%4."/>
      <w:lvlJc w:val="left"/>
      <w:pPr>
        <w:ind w:left="2880" w:hanging="360"/>
      </w:pPr>
    </w:lvl>
    <w:lvl w:ilvl="4" w:tplc="4E569958" w:tentative="1">
      <w:start w:val="1"/>
      <w:numFmt w:val="lowerLetter"/>
      <w:lvlText w:val="%5."/>
      <w:lvlJc w:val="left"/>
      <w:pPr>
        <w:ind w:left="3600" w:hanging="360"/>
      </w:pPr>
    </w:lvl>
    <w:lvl w:ilvl="5" w:tplc="64F45696" w:tentative="1">
      <w:start w:val="1"/>
      <w:numFmt w:val="lowerRoman"/>
      <w:lvlText w:val="%6."/>
      <w:lvlJc w:val="right"/>
      <w:pPr>
        <w:ind w:left="4320" w:hanging="180"/>
      </w:pPr>
    </w:lvl>
    <w:lvl w:ilvl="6" w:tplc="398C36B6" w:tentative="1">
      <w:start w:val="1"/>
      <w:numFmt w:val="decimal"/>
      <w:lvlText w:val="%7."/>
      <w:lvlJc w:val="left"/>
      <w:pPr>
        <w:ind w:left="5040" w:hanging="360"/>
      </w:pPr>
    </w:lvl>
    <w:lvl w:ilvl="7" w:tplc="3E72175A" w:tentative="1">
      <w:start w:val="1"/>
      <w:numFmt w:val="lowerLetter"/>
      <w:lvlText w:val="%8."/>
      <w:lvlJc w:val="left"/>
      <w:pPr>
        <w:ind w:left="5760" w:hanging="360"/>
      </w:pPr>
    </w:lvl>
    <w:lvl w:ilvl="8" w:tplc="1F2E74CC" w:tentative="1">
      <w:start w:val="1"/>
      <w:numFmt w:val="lowerRoman"/>
      <w:lvlText w:val="%9."/>
      <w:lvlJc w:val="right"/>
      <w:pPr>
        <w:ind w:left="6480" w:hanging="180"/>
      </w:pPr>
    </w:lvl>
  </w:abstractNum>
  <w:abstractNum w:abstractNumId="12" w15:restartNumberingAfterBreak="0">
    <w:nsid w:val="133C28E1"/>
    <w:multiLevelType w:val="hybridMultilevel"/>
    <w:tmpl w:val="0CCAF7CA"/>
    <w:lvl w:ilvl="0" w:tplc="385A61CE">
      <w:start w:val="1"/>
      <w:numFmt w:val="decimal"/>
      <w:lvlText w:val="%1."/>
      <w:lvlJc w:val="left"/>
      <w:pPr>
        <w:tabs>
          <w:tab w:val="num" w:pos="720"/>
        </w:tabs>
        <w:ind w:left="720" w:hanging="360"/>
      </w:pPr>
    </w:lvl>
    <w:lvl w:ilvl="1" w:tplc="A75E5988" w:tentative="1">
      <w:start w:val="1"/>
      <w:numFmt w:val="decimal"/>
      <w:lvlText w:val="%2."/>
      <w:lvlJc w:val="left"/>
      <w:pPr>
        <w:tabs>
          <w:tab w:val="num" w:pos="1440"/>
        </w:tabs>
        <w:ind w:left="1440" w:hanging="360"/>
      </w:pPr>
    </w:lvl>
    <w:lvl w:ilvl="2" w:tplc="4DCACCF6" w:tentative="1">
      <w:start w:val="1"/>
      <w:numFmt w:val="decimal"/>
      <w:lvlText w:val="%3."/>
      <w:lvlJc w:val="left"/>
      <w:pPr>
        <w:tabs>
          <w:tab w:val="num" w:pos="2160"/>
        </w:tabs>
        <w:ind w:left="2160" w:hanging="360"/>
      </w:pPr>
    </w:lvl>
    <w:lvl w:ilvl="3" w:tplc="74CE6B44" w:tentative="1">
      <w:start w:val="1"/>
      <w:numFmt w:val="decimal"/>
      <w:lvlText w:val="%4."/>
      <w:lvlJc w:val="left"/>
      <w:pPr>
        <w:tabs>
          <w:tab w:val="num" w:pos="2880"/>
        </w:tabs>
        <w:ind w:left="2880" w:hanging="360"/>
      </w:pPr>
    </w:lvl>
    <w:lvl w:ilvl="4" w:tplc="B0FC639E" w:tentative="1">
      <w:start w:val="1"/>
      <w:numFmt w:val="decimal"/>
      <w:lvlText w:val="%5."/>
      <w:lvlJc w:val="left"/>
      <w:pPr>
        <w:tabs>
          <w:tab w:val="num" w:pos="3600"/>
        </w:tabs>
        <w:ind w:left="3600" w:hanging="360"/>
      </w:pPr>
    </w:lvl>
    <w:lvl w:ilvl="5" w:tplc="18F86282" w:tentative="1">
      <w:start w:val="1"/>
      <w:numFmt w:val="decimal"/>
      <w:lvlText w:val="%6."/>
      <w:lvlJc w:val="left"/>
      <w:pPr>
        <w:tabs>
          <w:tab w:val="num" w:pos="4320"/>
        </w:tabs>
        <w:ind w:left="4320" w:hanging="360"/>
      </w:pPr>
    </w:lvl>
    <w:lvl w:ilvl="6" w:tplc="72440FAC" w:tentative="1">
      <w:start w:val="1"/>
      <w:numFmt w:val="decimal"/>
      <w:lvlText w:val="%7."/>
      <w:lvlJc w:val="left"/>
      <w:pPr>
        <w:tabs>
          <w:tab w:val="num" w:pos="5040"/>
        </w:tabs>
        <w:ind w:left="5040" w:hanging="360"/>
      </w:pPr>
    </w:lvl>
    <w:lvl w:ilvl="7" w:tplc="7FECE98A" w:tentative="1">
      <w:start w:val="1"/>
      <w:numFmt w:val="decimal"/>
      <w:lvlText w:val="%8."/>
      <w:lvlJc w:val="left"/>
      <w:pPr>
        <w:tabs>
          <w:tab w:val="num" w:pos="5760"/>
        </w:tabs>
        <w:ind w:left="5760" w:hanging="360"/>
      </w:pPr>
    </w:lvl>
    <w:lvl w:ilvl="8" w:tplc="FF726120" w:tentative="1">
      <w:start w:val="1"/>
      <w:numFmt w:val="decimal"/>
      <w:lvlText w:val="%9."/>
      <w:lvlJc w:val="left"/>
      <w:pPr>
        <w:tabs>
          <w:tab w:val="num" w:pos="6480"/>
        </w:tabs>
        <w:ind w:left="6480" w:hanging="360"/>
      </w:pPr>
    </w:lvl>
  </w:abstractNum>
  <w:abstractNum w:abstractNumId="13" w15:restartNumberingAfterBreak="0">
    <w:nsid w:val="17571299"/>
    <w:multiLevelType w:val="hybridMultilevel"/>
    <w:tmpl w:val="5726C722"/>
    <w:lvl w:ilvl="0" w:tplc="98FA1B8C">
      <w:start w:val="1"/>
      <w:numFmt w:val="bullet"/>
      <w:lvlText w:val=""/>
      <w:lvlJc w:val="left"/>
      <w:pPr>
        <w:ind w:left="720" w:hanging="360"/>
      </w:pPr>
      <w:rPr>
        <w:rFonts w:ascii="Symbol" w:hAnsi="Symbol" w:hint="default"/>
      </w:rPr>
    </w:lvl>
    <w:lvl w:ilvl="1" w:tplc="3B048B46" w:tentative="1">
      <w:start w:val="1"/>
      <w:numFmt w:val="bullet"/>
      <w:lvlText w:val="o"/>
      <w:lvlJc w:val="left"/>
      <w:pPr>
        <w:ind w:left="1440" w:hanging="360"/>
      </w:pPr>
      <w:rPr>
        <w:rFonts w:ascii="Courier New" w:hAnsi="Courier New" w:cs="Courier New" w:hint="default"/>
      </w:rPr>
    </w:lvl>
    <w:lvl w:ilvl="2" w:tplc="86061D90" w:tentative="1">
      <w:start w:val="1"/>
      <w:numFmt w:val="bullet"/>
      <w:lvlText w:val=""/>
      <w:lvlJc w:val="left"/>
      <w:pPr>
        <w:ind w:left="2160" w:hanging="360"/>
      </w:pPr>
      <w:rPr>
        <w:rFonts w:ascii="Wingdings" w:hAnsi="Wingdings" w:hint="default"/>
      </w:rPr>
    </w:lvl>
    <w:lvl w:ilvl="3" w:tplc="8F0C6B50" w:tentative="1">
      <w:start w:val="1"/>
      <w:numFmt w:val="bullet"/>
      <w:lvlText w:val=""/>
      <w:lvlJc w:val="left"/>
      <w:pPr>
        <w:ind w:left="2880" w:hanging="360"/>
      </w:pPr>
      <w:rPr>
        <w:rFonts w:ascii="Symbol" w:hAnsi="Symbol" w:hint="default"/>
      </w:rPr>
    </w:lvl>
    <w:lvl w:ilvl="4" w:tplc="5A3C0A82" w:tentative="1">
      <w:start w:val="1"/>
      <w:numFmt w:val="bullet"/>
      <w:lvlText w:val="o"/>
      <w:lvlJc w:val="left"/>
      <w:pPr>
        <w:ind w:left="3600" w:hanging="360"/>
      </w:pPr>
      <w:rPr>
        <w:rFonts w:ascii="Courier New" w:hAnsi="Courier New" w:cs="Courier New" w:hint="default"/>
      </w:rPr>
    </w:lvl>
    <w:lvl w:ilvl="5" w:tplc="8B84D9DC" w:tentative="1">
      <w:start w:val="1"/>
      <w:numFmt w:val="bullet"/>
      <w:lvlText w:val=""/>
      <w:lvlJc w:val="left"/>
      <w:pPr>
        <w:ind w:left="4320" w:hanging="360"/>
      </w:pPr>
      <w:rPr>
        <w:rFonts w:ascii="Wingdings" w:hAnsi="Wingdings" w:hint="default"/>
      </w:rPr>
    </w:lvl>
    <w:lvl w:ilvl="6" w:tplc="5C8859E2" w:tentative="1">
      <w:start w:val="1"/>
      <w:numFmt w:val="bullet"/>
      <w:lvlText w:val=""/>
      <w:lvlJc w:val="left"/>
      <w:pPr>
        <w:ind w:left="5040" w:hanging="360"/>
      </w:pPr>
      <w:rPr>
        <w:rFonts w:ascii="Symbol" w:hAnsi="Symbol" w:hint="default"/>
      </w:rPr>
    </w:lvl>
    <w:lvl w:ilvl="7" w:tplc="9E441E80" w:tentative="1">
      <w:start w:val="1"/>
      <w:numFmt w:val="bullet"/>
      <w:lvlText w:val="o"/>
      <w:lvlJc w:val="left"/>
      <w:pPr>
        <w:ind w:left="5760" w:hanging="360"/>
      </w:pPr>
      <w:rPr>
        <w:rFonts w:ascii="Courier New" w:hAnsi="Courier New" w:cs="Courier New" w:hint="default"/>
      </w:rPr>
    </w:lvl>
    <w:lvl w:ilvl="8" w:tplc="7F86A2A8" w:tentative="1">
      <w:start w:val="1"/>
      <w:numFmt w:val="bullet"/>
      <w:lvlText w:val=""/>
      <w:lvlJc w:val="left"/>
      <w:pPr>
        <w:ind w:left="6480" w:hanging="360"/>
      </w:pPr>
      <w:rPr>
        <w:rFonts w:ascii="Wingdings" w:hAnsi="Wingdings" w:hint="default"/>
      </w:rPr>
    </w:lvl>
  </w:abstractNum>
  <w:abstractNum w:abstractNumId="14" w15:restartNumberingAfterBreak="0">
    <w:nsid w:val="181D36CD"/>
    <w:multiLevelType w:val="hybridMultilevel"/>
    <w:tmpl w:val="CC1C0168"/>
    <w:lvl w:ilvl="0" w:tplc="91F4D500">
      <w:start w:val="1"/>
      <w:numFmt w:val="bullet"/>
      <w:lvlText w:val=""/>
      <w:lvlJc w:val="left"/>
      <w:pPr>
        <w:ind w:left="720" w:hanging="360"/>
      </w:pPr>
      <w:rPr>
        <w:rFonts w:ascii="Symbol" w:hAnsi="Symbol" w:hint="default"/>
      </w:rPr>
    </w:lvl>
    <w:lvl w:ilvl="1" w:tplc="1F126FCC" w:tentative="1">
      <w:start w:val="1"/>
      <w:numFmt w:val="bullet"/>
      <w:lvlText w:val="o"/>
      <w:lvlJc w:val="left"/>
      <w:pPr>
        <w:ind w:left="1440" w:hanging="360"/>
      </w:pPr>
      <w:rPr>
        <w:rFonts w:ascii="Courier New" w:hAnsi="Courier New" w:cs="Courier New" w:hint="default"/>
      </w:rPr>
    </w:lvl>
    <w:lvl w:ilvl="2" w:tplc="5360FAC0" w:tentative="1">
      <w:start w:val="1"/>
      <w:numFmt w:val="bullet"/>
      <w:lvlText w:val=""/>
      <w:lvlJc w:val="left"/>
      <w:pPr>
        <w:ind w:left="2160" w:hanging="360"/>
      </w:pPr>
      <w:rPr>
        <w:rFonts w:ascii="Wingdings" w:hAnsi="Wingdings" w:hint="default"/>
      </w:rPr>
    </w:lvl>
    <w:lvl w:ilvl="3" w:tplc="52FAAD08" w:tentative="1">
      <w:start w:val="1"/>
      <w:numFmt w:val="bullet"/>
      <w:lvlText w:val=""/>
      <w:lvlJc w:val="left"/>
      <w:pPr>
        <w:ind w:left="2880" w:hanging="360"/>
      </w:pPr>
      <w:rPr>
        <w:rFonts w:ascii="Symbol" w:hAnsi="Symbol" w:hint="default"/>
      </w:rPr>
    </w:lvl>
    <w:lvl w:ilvl="4" w:tplc="802CBEEA" w:tentative="1">
      <w:start w:val="1"/>
      <w:numFmt w:val="bullet"/>
      <w:lvlText w:val="o"/>
      <w:lvlJc w:val="left"/>
      <w:pPr>
        <w:ind w:left="3600" w:hanging="360"/>
      </w:pPr>
      <w:rPr>
        <w:rFonts w:ascii="Courier New" w:hAnsi="Courier New" w:cs="Courier New" w:hint="default"/>
      </w:rPr>
    </w:lvl>
    <w:lvl w:ilvl="5" w:tplc="BCB88A24" w:tentative="1">
      <w:start w:val="1"/>
      <w:numFmt w:val="bullet"/>
      <w:lvlText w:val=""/>
      <w:lvlJc w:val="left"/>
      <w:pPr>
        <w:ind w:left="4320" w:hanging="360"/>
      </w:pPr>
      <w:rPr>
        <w:rFonts w:ascii="Wingdings" w:hAnsi="Wingdings" w:hint="default"/>
      </w:rPr>
    </w:lvl>
    <w:lvl w:ilvl="6" w:tplc="1F8EF9C4" w:tentative="1">
      <w:start w:val="1"/>
      <w:numFmt w:val="bullet"/>
      <w:lvlText w:val=""/>
      <w:lvlJc w:val="left"/>
      <w:pPr>
        <w:ind w:left="5040" w:hanging="360"/>
      </w:pPr>
      <w:rPr>
        <w:rFonts w:ascii="Symbol" w:hAnsi="Symbol" w:hint="default"/>
      </w:rPr>
    </w:lvl>
    <w:lvl w:ilvl="7" w:tplc="67F488C2" w:tentative="1">
      <w:start w:val="1"/>
      <w:numFmt w:val="bullet"/>
      <w:lvlText w:val="o"/>
      <w:lvlJc w:val="left"/>
      <w:pPr>
        <w:ind w:left="5760" w:hanging="360"/>
      </w:pPr>
      <w:rPr>
        <w:rFonts w:ascii="Courier New" w:hAnsi="Courier New" w:cs="Courier New" w:hint="default"/>
      </w:rPr>
    </w:lvl>
    <w:lvl w:ilvl="8" w:tplc="2588230E" w:tentative="1">
      <w:start w:val="1"/>
      <w:numFmt w:val="bullet"/>
      <w:lvlText w:val=""/>
      <w:lvlJc w:val="left"/>
      <w:pPr>
        <w:ind w:left="6480" w:hanging="360"/>
      </w:pPr>
      <w:rPr>
        <w:rFonts w:ascii="Wingdings" w:hAnsi="Wingdings" w:hint="default"/>
      </w:rPr>
    </w:lvl>
  </w:abstractNum>
  <w:abstractNum w:abstractNumId="15" w15:restartNumberingAfterBreak="0">
    <w:nsid w:val="24C128B1"/>
    <w:multiLevelType w:val="hybridMultilevel"/>
    <w:tmpl w:val="AAA052C8"/>
    <w:lvl w:ilvl="0" w:tplc="859E9E4A">
      <w:start w:val="1"/>
      <w:numFmt w:val="decimal"/>
      <w:lvlText w:val="(%1)"/>
      <w:lvlJc w:val="left"/>
      <w:pPr>
        <w:ind w:left="1980" w:hanging="360"/>
      </w:pPr>
      <w:rPr>
        <w:rFonts w:hint="default"/>
      </w:rPr>
    </w:lvl>
    <w:lvl w:ilvl="1" w:tplc="17207BFC" w:tentative="1">
      <w:start w:val="1"/>
      <w:numFmt w:val="lowerLetter"/>
      <w:lvlText w:val="%2."/>
      <w:lvlJc w:val="left"/>
      <w:pPr>
        <w:ind w:left="2700" w:hanging="360"/>
      </w:pPr>
    </w:lvl>
    <w:lvl w:ilvl="2" w:tplc="19EE3754" w:tentative="1">
      <w:start w:val="1"/>
      <w:numFmt w:val="lowerRoman"/>
      <w:lvlText w:val="%3."/>
      <w:lvlJc w:val="right"/>
      <w:pPr>
        <w:ind w:left="3420" w:hanging="180"/>
      </w:pPr>
    </w:lvl>
    <w:lvl w:ilvl="3" w:tplc="E0A4B93C" w:tentative="1">
      <w:start w:val="1"/>
      <w:numFmt w:val="decimal"/>
      <w:lvlText w:val="%4."/>
      <w:lvlJc w:val="left"/>
      <w:pPr>
        <w:ind w:left="4140" w:hanging="360"/>
      </w:pPr>
    </w:lvl>
    <w:lvl w:ilvl="4" w:tplc="AD981BA8" w:tentative="1">
      <w:start w:val="1"/>
      <w:numFmt w:val="lowerLetter"/>
      <w:lvlText w:val="%5."/>
      <w:lvlJc w:val="left"/>
      <w:pPr>
        <w:ind w:left="4860" w:hanging="360"/>
      </w:pPr>
    </w:lvl>
    <w:lvl w:ilvl="5" w:tplc="755A81D6" w:tentative="1">
      <w:start w:val="1"/>
      <w:numFmt w:val="lowerRoman"/>
      <w:lvlText w:val="%6."/>
      <w:lvlJc w:val="right"/>
      <w:pPr>
        <w:ind w:left="5580" w:hanging="180"/>
      </w:pPr>
    </w:lvl>
    <w:lvl w:ilvl="6" w:tplc="5638F7E2" w:tentative="1">
      <w:start w:val="1"/>
      <w:numFmt w:val="decimal"/>
      <w:lvlText w:val="%7."/>
      <w:lvlJc w:val="left"/>
      <w:pPr>
        <w:ind w:left="6300" w:hanging="360"/>
      </w:pPr>
    </w:lvl>
    <w:lvl w:ilvl="7" w:tplc="4B1CF776" w:tentative="1">
      <w:start w:val="1"/>
      <w:numFmt w:val="lowerLetter"/>
      <w:lvlText w:val="%8."/>
      <w:lvlJc w:val="left"/>
      <w:pPr>
        <w:ind w:left="7020" w:hanging="360"/>
      </w:pPr>
    </w:lvl>
    <w:lvl w:ilvl="8" w:tplc="01AC5D58" w:tentative="1">
      <w:start w:val="1"/>
      <w:numFmt w:val="lowerRoman"/>
      <w:lvlText w:val="%9."/>
      <w:lvlJc w:val="right"/>
      <w:pPr>
        <w:ind w:left="7740" w:hanging="180"/>
      </w:pPr>
    </w:lvl>
  </w:abstractNum>
  <w:abstractNum w:abstractNumId="16" w15:restartNumberingAfterBreak="0">
    <w:nsid w:val="27E822AF"/>
    <w:multiLevelType w:val="hybridMultilevel"/>
    <w:tmpl w:val="BB3C7B22"/>
    <w:lvl w:ilvl="0" w:tplc="3698ADC0">
      <w:start w:val="1"/>
      <w:numFmt w:val="lowerLetter"/>
      <w:lvlText w:val="(%1)"/>
      <w:lvlJc w:val="left"/>
      <w:pPr>
        <w:ind w:left="1080" w:hanging="360"/>
      </w:pPr>
      <w:rPr>
        <w:rFonts w:hint="default"/>
      </w:rPr>
    </w:lvl>
    <w:lvl w:ilvl="1" w:tplc="4C3267AE" w:tentative="1">
      <w:start w:val="1"/>
      <w:numFmt w:val="lowerLetter"/>
      <w:lvlText w:val="%2."/>
      <w:lvlJc w:val="left"/>
      <w:pPr>
        <w:ind w:left="1800" w:hanging="360"/>
      </w:pPr>
    </w:lvl>
    <w:lvl w:ilvl="2" w:tplc="D38299C6" w:tentative="1">
      <w:start w:val="1"/>
      <w:numFmt w:val="lowerRoman"/>
      <w:lvlText w:val="%3."/>
      <w:lvlJc w:val="right"/>
      <w:pPr>
        <w:ind w:left="2520" w:hanging="180"/>
      </w:pPr>
    </w:lvl>
    <w:lvl w:ilvl="3" w:tplc="A64E9ECE" w:tentative="1">
      <w:start w:val="1"/>
      <w:numFmt w:val="decimal"/>
      <w:lvlText w:val="%4."/>
      <w:lvlJc w:val="left"/>
      <w:pPr>
        <w:ind w:left="3240" w:hanging="360"/>
      </w:pPr>
    </w:lvl>
    <w:lvl w:ilvl="4" w:tplc="E24C08FA" w:tentative="1">
      <w:start w:val="1"/>
      <w:numFmt w:val="lowerLetter"/>
      <w:lvlText w:val="%5."/>
      <w:lvlJc w:val="left"/>
      <w:pPr>
        <w:ind w:left="3960" w:hanging="360"/>
      </w:pPr>
    </w:lvl>
    <w:lvl w:ilvl="5" w:tplc="C6EA7FF4" w:tentative="1">
      <w:start w:val="1"/>
      <w:numFmt w:val="lowerRoman"/>
      <w:lvlText w:val="%6."/>
      <w:lvlJc w:val="right"/>
      <w:pPr>
        <w:ind w:left="4680" w:hanging="180"/>
      </w:pPr>
    </w:lvl>
    <w:lvl w:ilvl="6" w:tplc="25FA3898" w:tentative="1">
      <w:start w:val="1"/>
      <w:numFmt w:val="decimal"/>
      <w:lvlText w:val="%7."/>
      <w:lvlJc w:val="left"/>
      <w:pPr>
        <w:ind w:left="5400" w:hanging="360"/>
      </w:pPr>
    </w:lvl>
    <w:lvl w:ilvl="7" w:tplc="95AC900E" w:tentative="1">
      <w:start w:val="1"/>
      <w:numFmt w:val="lowerLetter"/>
      <w:lvlText w:val="%8."/>
      <w:lvlJc w:val="left"/>
      <w:pPr>
        <w:ind w:left="6120" w:hanging="360"/>
      </w:pPr>
    </w:lvl>
    <w:lvl w:ilvl="8" w:tplc="ED00AB76" w:tentative="1">
      <w:start w:val="1"/>
      <w:numFmt w:val="lowerRoman"/>
      <w:lvlText w:val="%9."/>
      <w:lvlJc w:val="right"/>
      <w:pPr>
        <w:ind w:left="6840" w:hanging="180"/>
      </w:pPr>
    </w:lvl>
  </w:abstractNum>
  <w:abstractNum w:abstractNumId="17" w15:restartNumberingAfterBreak="0">
    <w:nsid w:val="301B3062"/>
    <w:multiLevelType w:val="hybridMultilevel"/>
    <w:tmpl w:val="1C42596A"/>
    <w:lvl w:ilvl="0" w:tplc="3AB830E0">
      <w:start w:val="1"/>
      <w:numFmt w:val="decimal"/>
      <w:lvlText w:val="%1."/>
      <w:lvlJc w:val="left"/>
      <w:pPr>
        <w:ind w:left="2160" w:hanging="720"/>
      </w:pPr>
      <w:rPr>
        <w:rFonts w:hint="default"/>
      </w:rPr>
    </w:lvl>
    <w:lvl w:ilvl="1" w:tplc="4B72BF88" w:tentative="1">
      <w:start w:val="1"/>
      <w:numFmt w:val="lowerLetter"/>
      <w:lvlText w:val="%2."/>
      <w:lvlJc w:val="left"/>
      <w:pPr>
        <w:ind w:left="2520" w:hanging="360"/>
      </w:pPr>
    </w:lvl>
    <w:lvl w:ilvl="2" w:tplc="52D2A06E" w:tentative="1">
      <w:start w:val="1"/>
      <w:numFmt w:val="lowerRoman"/>
      <w:lvlText w:val="%3."/>
      <w:lvlJc w:val="right"/>
      <w:pPr>
        <w:ind w:left="3240" w:hanging="180"/>
      </w:pPr>
    </w:lvl>
    <w:lvl w:ilvl="3" w:tplc="2D0CAF14" w:tentative="1">
      <w:start w:val="1"/>
      <w:numFmt w:val="decimal"/>
      <w:lvlText w:val="%4."/>
      <w:lvlJc w:val="left"/>
      <w:pPr>
        <w:ind w:left="3960" w:hanging="360"/>
      </w:pPr>
    </w:lvl>
    <w:lvl w:ilvl="4" w:tplc="48204942" w:tentative="1">
      <w:start w:val="1"/>
      <w:numFmt w:val="lowerLetter"/>
      <w:lvlText w:val="%5."/>
      <w:lvlJc w:val="left"/>
      <w:pPr>
        <w:ind w:left="4680" w:hanging="360"/>
      </w:pPr>
    </w:lvl>
    <w:lvl w:ilvl="5" w:tplc="B82ADA58" w:tentative="1">
      <w:start w:val="1"/>
      <w:numFmt w:val="lowerRoman"/>
      <w:lvlText w:val="%6."/>
      <w:lvlJc w:val="right"/>
      <w:pPr>
        <w:ind w:left="5400" w:hanging="180"/>
      </w:pPr>
    </w:lvl>
    <w:lvl w:ilvl="6" w:tplc="DE480DE0" w:tentative="1">
      <w:start w:val="1"/>
      <w:numFmt w:val="decimal"/>
      <w:lvlText w:val="%7."/>
      <w:lvlJc w:val="left"/>
      <w:pPr>
        <w:ind w:left="6120" w:hanging="360"/>
      </w:pPr>
    </w:lvl>
    <w:lvl w:ilvl="7" w:tplc="C4905AE6" w:tentative="1">
      <w:start w:val="1"/>
      <w:numFmt w:val="lowerLetter"/>
      <w:lvlText w:val="%8."/>
      <w:lvlJc w:val="left"/>
      <w:pPr>
        <w:ind w:left="6840" w:hanging="360"/>
      </w:pPr>
    </w:lvl>
    <w:lvl w:ilvl="8" w:tplc="AB148ABA" w:tentative="1">
      <w:start w:val="1"/>
      <w:numFmt w:val="lowerRoman"/>
      <w:lvlText w:val="%9."/>
      <w:lvlJc w:val="right"/>
      <w:pPr>
        <w:ind w:left="7560" w:hanging="180"/>
      </w:pPr>
    </w:lvl>
  </w:abstractNum>
  <w:abstractNum w:abstractNumId="18" w15:restartNumberingAfterBreak="0">
    <w:nsid w:val="3F085296"/>
    <w:multiLevelType w:val="hybridMultilevel"/>
    <w:tmpl w:val="20B04EDC"/>
    <w:lvl w:ilvl="0" w:tplc="6D1C44A4">
      <w:start w:val="1"/>
      <w:numFmt w:val="bullet"/>
      <w:lvlText w:val=""/>
      <w:lvlJc w:val="left"/>
      <w:pPr>
        <w:ind w:left="720" w:hanging="360"/>
      </w:pPr>
      <w:rPr>
        <w:rFonts w:ascii="Symbol" w:hAnsi="Symbol" w:hint="default"/>
      </w:rPr>
    </w:lvl>
    <w:lvl w:ilvl="1" w:tplc="9DCE6B3A" w:tentative="1">
      <w:start w:val="1"/>
      <w:numFmt w:val="bullet"/>
      <w:lvlText w:val="o"/>
      <w:lvlJc w:val="left"/>
      <w:pPr>
        <w:ind w:left="1440" w:hanging="360"/>
      </w:pPr>
      <w:rPr>
        <w:rFonts w:ascii="Courier New" w:hAnsi="Courier New" w:cs="Courier New" w:hint="default"/>
      </w:rPr>
    </w:lvl>
    <w:lvl w:ilvl="2" w:tplc="19229178" w:tentative="1">
      <w:start w:val="1"/>
      <w:numFmt w:val="bullet"/>
      <w:lvlText w:val=""/>
      <w:lvlJc w:val="left"/>
      <w:pPr>
        <w:ind w:left="2160" w:hanging="360"/>
      </w:pPr>
      <w:rPr>
        <w:rFonts w:ascii="Wingdings" w:hAnsi="Wingdings" w:hint="default"/>
      </w:rPr>
    </w:lvl>
    <w:lvl w:ilvl="3" w:tplc="507E666E" w:tentative="1">
      <w:start w:val="1"/>
      <w:numFmt w:val="bullet"/>
      <w:lvlText w:val=""/>
      <w:lvlJc w:val="left"/>
      <w:pPr>
        <w:ind w:left="2880" w:hanging="360"/>
      </w:pPr>
      <w:rPr>
        <w:rFonts w:ascii="Symbol" w:hAnsi="Symbol" w:hint="default"/>
      </w:rPr>
    </w:lvl>
    <w:lvl w:ilvl="4" w:tplc="283AB062" w:tentative="1">
      <w:start w:val="1"/>
      <w:numFmt w:val="bullet"/>
      <w:lvlText w:val="o"/>
      <w:lvlJc w:val="left"/>
      <w:pPr>
        <w:ind w:left="3600" w:hanging="360"/>
      </w:pPr>
      <w:rPr>
        <w:rFonts w:ascii="Courier New" w:hAnsi="Courier New" w:cs="Courier New" w:hint="default"/>
      </w:rPr>
    </w:lvl>
    <w:lvl w:ilvl="5" w:tplc="31C84B0C" w:tentative="1">
      <w:start w:val="1"/>
      <w:numFmt w:val="bullet"/>
      <w:lvlText w:val=""/>
      <w:lvlJc w:val="left"/>
      <w:pPr>
        <w:ind w:left="4320" w:hanging="360"/>
      </w:pPr>
      <w:rPr>
        <w:rFonts w:ascii="Wingdings" w:hAnsi="Wingdings" w:hint="default"/>
      </w:rPr>
    </w:lvl>
    <w:lvl w:ilvl="6" w:tplc="7ADE3202" w:tentative="1">
      <w:start w:val="1"/>
      <w:numFmt w:val="bullet"/>
      <w:lvlText w:val=""/>
      <w:lvlJc w:val="left"/>
      <w:pPr>
        <w:ind w:left="5040" w:hanging="360"/>
      </w:pPr>
      <w:rPr>
        <w:rFonts w:ascii="Symbol" w:hAnsi="Symbol" w:hint="default"/>
      </w:rPr>
    </w:lvl>
    <w:lvl w:ilvl="7" w:tplc="F7587C12" w:tentative="1">
      <w:start w:val="1"/>
      <w:numFmt w:val="bullet"/>
      <w:lvlText w:val="o"/>
      <w:lvlJc w:val="left"/>
      <w:pPr>
        <w:ind w:left="5760" w:hanging="360"/>
      </w:pPr>
      <w:rPr>
        <w:rFonts w:ascii="Courier New" w:hAnsi="Courier New" w:cs="Courier New" w:hint="default"/>
      </w:rPr>
    </w:lvl>
    <w:lvl w:ilvl="8" w:tplc="4312928A" w:tentative="1">
      <w:start w:val="1"/>
      <w:numFmt w:val="bullet"/>
      <w:lvlText w:val=""/>
      <w:lvlJc w:val="left"/>
      <w:pPr>
        <w:ind w:left="6480" w:hanging="360"/>
      </w:pPr>
      <w:rPr>
        <w:rFonts w:ascii="Wingdings" w:hAnsi="Wingdings" w:hint="default"/>
      </w:rPr>
    </w:lvl>
  </w:abstractNum>
  <w:abstractNum w:abstractNumId="19" w15:restartNumberingAfterBreak="0">
    <w:nsid w:val="6357561B"/>
    <w:multiLevelType w:val="hybridMultilevel"/>
    <w:tmpl w:val="25D49DFA"/>
    <w:lvl w:ilvl="0" w:tplc="CC28A15A">
      <w:start w:val="1"/>
      <w:numFmt w:val="bullet"/>
      <w:pStyle w:val="ListBullet"/>
      <w:lvlText w:val=""/>
      <w:lvlJc w:val="left"/>
      <w:pPr>
        <w:tabs>
          <w:tab w:val="num" w:pos="720"/>
        </w:tabs>
        <w:ind w:left="720" w:hanging="360"/>
      </w:pPr>
      <w:rPr>
        <w:rFonts w:ascii="Wingdings" w:hAnsi="Wingdings" w:hint="default"/>
      </w:rPr>
    </w:lvl>
    <w:lvl w:ilvl="1" w:tplc="97E6C50E" w:tentative="1">
      <w:start w:val="1"/>
      <w:numFmt w:val="bullet"/>
      <w:lvlText w:val="o"/>
      <w:lvlJc w:val="left"/>
      <w:pPr>
        <w:tabs>
          <w:tab w:val="num" w:pos="1440"/>
        </w:tabs>
        <w:ind w:left="1440" w:hanging="360"/>
      </w:pPr>
      <w:rPr>
        <w:rFonts w:ascii="Courier New" w:hAnsi="Courier New" w:hint="default"/>
      </w:rPr>
    </w:lvl>
    <w:lvl w:ilvl="2" w:tplc="529C9042" w:tentative="1">
      <w:start w:val="1"/>
      <w:numFmt w:val="bullet"/>
      <w:lvlText w:val=""/>
      <w:lvlJc w:val="left"/>
      <w:pPr>
        <w:tabs>
          <w:tab w:val="num" w:pos="2160"/>
        </w:tabs>
        <w:ind w:left="2160" w:hanging="360"/>
      </w:pPr>
      <w:rPr>
        <w:rFonts w:ascii="Wingdings" w:hAnsi="Wingdings" w:hint="default"/>
      </w:rPr>
    </w:lvl>
    <w:lvl w:ilvl="3" w:tplc="DC8C8B4A" w:tentative="1">
      <w:start w:val="1"/>
      <w:numFmt w:val="bullet"/>
      <w:lvlText w:val=""/>
      <w:lvlJc w:val="left"/>
      <w:pPr>
        <w:tabs>
          <w:tab w:val="num" w:pos="2880"/>
        </w:tabs>
        <w:ind w:left="2880" w:hanging="360"/>
      </w:pPr>
      <w:rPr>
        <w:rFonts w:ascii="Symbol" w:hAnsi="Symbol" w:hint="default"/>
      </w:rPr>
    </w:lvl>
    <w:lvl w:ilvl="4" w:tplc="3CF4AAFA" w:tentative="1">
      <w:start w:val="1"/>
      <w:numFmt w:val="bullet"/>
      <w:lvlText w:val="o"/>
      <w:lvlJc w:val="left"/>
      <w:pPr>
        <w:tabs>
          <w:tab w:val="num" w:pos="3600"/>
        </w:tabs>
        <w:ind w:left="3600" w:hanging="360"/>
      </w:pPr>
      <w:rPr>
        <w:rFonts w:ascii="Courier New" w:hAnsi="Courier New" w:hint="default"/>
      </w:rPr>
    </w:lvl>
    <w:lvl w:ilvl="5" w:tplc="DC449ECC" w:tentative="1">
      <w:start w:val="1"/>
      <w:numFmt w:val="bullet"/>
      <w:lvlText w:val=""/>
      <w:lvlJc w:val="left"/>
      <w:pPr>
        <w:tabs>
          <w:tab w:val="num" w:pos="4320"/>
        </w:tabs>
        <w:ind w:left="4320" w:hanging="360"/>
      </w:pPr>
      <w:rPr>
        <w:rFonts w:ascii="Wingdings" w:hAnsi="Wingdings" w:hint="default"/>
      </w:rPr>
    </w:lvl>
    <w:lvl w:ilvl="6" w:tplc="712C25EE" w:tentative="1">
      <w:start w:val="1"/>
      <w:numFmt w:val="bullet"/>
      <w:lvlText w:val=""/>
      <w:lvlJc w:val="left"/>
      <w:pPr>
        <w:tabs>
          <w:tab w:val="num" w:pos="5040"/>
        </w:tabs>
        <w:ind w:left="5040" w:hanging="360"/>
      </w:pPr>
      <w:rPr>
        <w:rFonts w:ascii="Symbol" w:hAnsi="Symbol" w:hint="default"/>
      </w:rPr>
    </w:lvl>
    <w:lvl w:ilvl="7" w:tplc="9864BF88" w:tentative="1">
      <w:start w:val="1"/>
      <w:numFmt w:val="bullet"/>
      <w:lvlText w:val="o"/>
      <w:lvlJc w:val="left"/>
      <w:pPr>
        <w:tabs>
          <w:tab w:val="num" w:pos="5760"/>
        </w:tabs>
        <w:ind w:left="5760" w:hanging="360"/>
      </w:pPr>
      <w:rPr>
        <w:rFonts w:ascii="Courier New" w:hAnsi="Courier New" w:hint="default"/>
      </w:rPr>
    </w:lvl>
    <w:lvl w:ilvl="8" w:tplc="4CF8184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26141"/>
    <w:multiLevelType w:val="hybridMultilevel"/>
    <w:tmpl w:val="920EC2A6"/>
    <w:lvl w:ilvl="0" w:tplc="FA820820">
      <w:start w:val="1"/>
      <w:numFmt w:val="decimal"/>
      <w:lvlText w:val="(%1)"/>
      <w:lvlJc w:val="left"/>
      <w:pPr>
        <w:ind w:left="1980" w:hanging="360"/>
      </w:pPr>
      <w:rPr>
        <w:rFonts w:hint="default"/>
      </w:rPr>
    </w:lvl>
    <w:lvl w:ilvl="1" w:tplc="F052FC52" w:tentative="1">
      <w:start w:val="1"/>
      <w:numFmt w:val="lowerLetter"/>
      <w:lvlText w:val="%2."/>
      <w:lvlJc w:val="left"/>
      <w:pPr>
        <w:ind w:left="1440" w:hanging="360"/>
      </w:pPr>
    </w:lvl>
    <w:lvl w:ilvl="2" w:tplc="8ABAA8AA" w:tentative="1">
      <w:start w:val="1"/>
      <w:numFmt w:val="lowerRoman"/>
      <w:lvlText w:val="%3."/>
      <w:lvlJc w:val="right"/>
      <w:pPr>
        <w:ind w:left="2160" w:hanging="180"/>
      </w:pPr>
    </w:lvl>
    <w:lvl w:ilvl="3" w:tplc="2DCC3F18" w:tentative="1">
      <w:start w:val="1"/>
      <w:numFmt w:val="decimal"/>
      <w:lvlText w:val="%4."/>
      <w:lvlJc w:val="left"/>
      <w:pPr>
        <w:ind w:left="2880" w:hanging="360"/>
      </w:pPr>
    </w:lvl>
    <w:lvl w:ilvl="4" w:tplc="D398FE24" w:tentative="1">
      <w:start w:val="1"/>
      <w:numFmt w:val="lowerLetter"/>
      <w:lvlText w:val="%5."/>
      <w:lvlJc w:val="left"/>
      <w:pPr>
        <w:ind w:left="3600" w:hanging="360"/>
      </w:pPr>
    </w:lvl>
    <w:lvl w:ilvl="5" w:tplc="79CC297E" w:tentative="1">
      <w:start w:val="1"/>
      <w:numFmt w:val="lowerRoman"/>
      <w:lvlText w:val="%6."/>
      <w:lvlJc w:val="right"/>
      <w:pPr>
        <w:ind w:left="4320" w:hanging="180"/>
      </w:pPr>
    </w:lvl>
    <w:lvl w:ilvl="6" w:tplc="22022832" w:tentative="1">
      <w:start w:val="1"/>
      <w:numFmt w:val="decimal"/>
      <w:lvlText w:val="%7."/>
      <w:lvlJc w:val="left"/>
      <w:pPr>
        <w:ind w:left="5040" w:hanging="360"/>
      </w:pPr>
    </w:lvl>
    <w:lvl w:ilvl="7" w:tplc="59EE5D5A" w:tentative="1">
      <w:start w:val="1"/>
      <w:numFmt w:val="lowerLetter"/>
      <w:lvlText w:val="%8."/>
      <w:lvlJc w:val="left"/>
      <w:pPr>
        <w:ind w:left="5760" w:hanging="360"/>
      </w:pPr>
    </w:lvl>
    <w:lvl w:ilvl="8" w:tplc="C7A0E79C" w:tentative="1">
      <w:start w:val="1"/>
      <w:numFmt w:val="lowerRoman"/>
      <w:lvlText w:val="%9."/>
      <w:lvlJc w:val="right"/>
      <w:pPr>
        <w:ind w:left="6480" w:hanging="180"/>
      </w:pPr>
    </w:lvl>
  </w:abstractNum>
  <w:abstractNum w:abstractNumId="21" w15:restartNumberingAfterBreak="0">
    <w:nsid w:val="6CC47846"/>
    <w:multiLevelType w:val="hybridMultilevel"/>
    <w:tmpl w:val="B0A2CEAE"/>
    <w:lvl w:ilvl="0" w:tplc="7C428624">
      <w:start w:val="1"/>
      <w:numFmt w:val="decimal"/>
      <w:lvlText w:val="%1."/>
      <w:lvlJc w:val="left"/>
      <w:pPr>
        <w:ind w:left="2160" w:hanging="360"/>
      </w:pPr>
    </w:lvl>
    <w:lvl w:ilvl="1" w:tplc="8F9E0B6C" w:tentative="1">
      <w:start w:val="1"/>
      <w:numFmt w:val="lowerLetter"/>
      <w:lvlText w:val="%2."/>
      <w:lvlJc w:val="left"/>
      <w:pPr>
        <w:ind w:left="2880" w:hanging="360"/>
      </w:pPr>
    </w:lvl>
    <w:lvl w:ilvl="2" w:tplc="AF04C58E" w:tentative="1">
      <w:start w:val="1"/>
      <w:numFmt w:val="lowerRoman"/>
      <w:lvlText w:val="%3."/>
      <w:lvlJc w:val="right"/>
      <w:pPr>
        <w:ind w:left="3600" w:hanging="180"/>
      </w:pPr>
    </w:lvl>
    <w:lvl w:ilvl="3" w:tplc="7F929ADC" w:tentative="1">
      <w:start w:val="1"/>
      <w:numFmt w:val="decimal"/>
      <w:lvlText w:val="%4."/>
      <w:lvlJc w:val="left"/>
      <w:pPr>
        <w:ind w:left="4320" w:hanging="360"/>
      </w:pPr>
    </w:lvl>
    <w:lvl w:ilvl="4" w:tplc="78B057F2" w:tentative="1">
      <w:start w:val="1"/>
      <w:numFmt w:val="lowerLetter"/>
      <w:lvlText w:val="%5."/>
      <w:lvlJc w:val="left"/>
      <w:pPr>
        <w:ind w:left="5040" w:hanging="360"/>
      </w:pPr>
    </w:lvl>
    <w:lvl w:ilvl="5" w:tplc="4C942FBE" w:tentative="1">
      <w:start w:val="1"/>
      <w:numFmt w:val="lowerRoman"/>
      <w:lvlText w:val="%6."/>
      <w:lvlJc w:val="right"/>
      <w:pPr>
        <w:ind w:left="5760" w:hanging="180"/>
      </w:pPr>
    </w:lvl>
    <w:lvl w:ilvl="6" w:tplc="DF7065D4" w:tentative="1">
      <w:start w:val="1"/>
      <w:numFmt w:val="decimal"/>
      <w:lvlText w:val="%7."/>
      <w:lvlJc w:val="left"/>
      <w:pPr>
        <w:ind w:left="6480" w:hanging="360"/>
      </w:pPr>
    </w:lvl>
    <w:lvl w:ilvl="7" w:tplc="101204F0" w:tentative="1">
      <w:start w:val="1"/>
      <w:numFmt w:val="lowerLetter"/>
      <w:lvlText w:val="%8."/>
      <w:lvlJc w:val="left"/>
      <w:pPr>
        <w:ind w:left="7200" w:hanging="360"/>
      </w:pPr>
    </w:lvl>
    <w:lvl w:ilvl="8" w:tplc="EEF2835A" w:tentative="1">
      <w:start w:val="1"/>
      <w:numFmt w:val="lowerRoman"/>
      <w:lvlText w:val="%9."/>
      <w:lvlJc w:val="right"/>
      <w:pPr>
        <w:ind w:left="7920" w:hanging="180"/>
      </w:pPr>
    </w:lvl>
  </w:abstractNum>
  <w:abstractNum w:abstractNumId="22" w15:restartNumberingAfterBreak="0">
    <w:nsid w:val="6F0A20B6"/>
    <w:multiLevelType w:val="hybridMultilevel"/>
    <w:tmpl w:val="41049E8A"/>
    <w:lvl w:ilvl="0" w:tplc="0D5CCEBA">
      <w:start w:val="1"/>
      <w:numFmt w:val="bullet"/>
      <w:lvlText w:val=""/>
      <w:lvlJc w:val="left"/>
      <w:pPr>
        <w:ind w:left="720" w:hanging="360"/>
      </w:pPr>
      <w:rPr>
        <w:rFonts w:ascii="Symbol" w:hAnsi="Symbol" w:hint="default"/>
      </w:rPr>
    </w:lvl>
    <w:lvl w:ilvl="1" w:tplc="7242DEB6" w:tentative="1">
      <w:start w:val="1"/>
      <w:numFmt w:val="bullet"/>
      <w:lvlText w:val="o"/>
      <w:lvlJc w:val="left"/>
      <w:pPr>
        <w:ind w:left="1440" w:hanging="360"/>
      </w:pPr>
      <w:rPr>
        <w:rFonts w:ascii="Courier New" w:hAnsi="Courier New" w:cs="Courier New" w:hint="default"/>
      </w:rPr>
    </w:lvl>
    <w:lvl w:ilvl="2" w:tplc="B0589110" w:tentative="1">
      <w:start w:val="1"/>
      <w:numFmt w:val="bullet"/>
      <w:lvlText w:val=""/>
      <w:lvlJc w:val="left"/>
      <w:pPr>
        <w:ind w:left="2160" w:hanging="360"/>
      </w:pPr>
      <w:rPr>
        <w:rFonts w:ascii="Wingdings" w:hAnsi="Wingdings" w:hint="default"/>
      </w:rPr>
    </w:lvl>
    <w:lvl w:ilvl="3" w:tplc="80DCDD18" w:tentative="1">
      <w:start w:val="1"/>
      <w:numFmt w:val="bullet"/>
      <w:lvlText w:val=""/>
      <w:lvlJc w:val="left"/>
      <w:pPr>
        <w:ind w:left="2880" w:hanging="360"/>
      </w:pPr>
      <w:rPr>
        <w:rFonts w:ascii="Symbol" w:hAnsi="Symbol" w:hint="default"/>
      </w:rPr>
    </w:lvl>
    <w:lvl w:ilvl="4" w:tplc="90C2D3AE" w:tentative="1">
      <w:start w:val="1"/>
      <w:numFmt w:val="bullet"/>
      <w:lvlText w:val="o"/>
      <w:lvlJc w:val="left"/>
      <w:pPr>
        <w:ind w:left="3600" w:hanging="360"/>
      </w:pPr>
      <w:rPr>
        <w:rFonts w:ascii="Courier New" w:hAnsi="Courier New" w:cs="Courier New" w:hint="default"/>
      </w:rPr>
    </w:lvl>
    <w:lvl w:ilvl="5" w:tplc="637C2B0C" w:tentative="1">
      <w:start w:val="1"/>
      <w:numFmt w:val="bullet"/>
      <w:lvlText w:val=""/>
      <w:lvlJc w:val="left"/>
      <w:pPr>
        <w:ind w:left="4320" w:hanging="360"/>
      </w:pPr>
      <w:rPr>
        <w:rFonts w:ascii="Wingdings" w:hAnsi="Wingdings" w:hint="default"/>
      </w:rPr>
    </w:lvl>
    <w:lvl w:ilvl="6" w:tplc="DB62F108" w:tentative="1">
      <w:start w:val="1"/>
      <w:numFmt w:val="bullet"/>
      <w:lvlText w:val=""/>
      <w:lvlJc w:val="left"/>
      <w:pPr>
        <w:ind w:left="5040" w:hanging="360"/>
      </w:pPr>
      <w:rPr>
        <w:rFonts w:ascii="Symbol" w:hAnsi="Symbol" w:hint="default"/>
      </w:rPr>
    </w:lvl>
    <w:lvl w:ilvl="7" w:tplc="4F200A90" w:tentative="1">
      <w:start w:val="1"/>
      <w:numFmt w:val="bullet"/>
      <w:lvlText w:val="o"/>
      <w:lvlJc w:val="left"/>
      <w:pPr>
        <w:ind w:left="5760" w:hanging="360"/>
      </w:pPr>
      <w:rPr>
        <w:rFonts w:ascii="Courier New" w:hAnsi="Courier New" w:cs="Courier New" w:hint="default"/>
      </w:rPr>
    </w:lvl>
    <w:lvl w:ilvl="8" w:tplc="A63A72AE" w:tentative="1">
      <w:start w:val="1"/>
      <w:numFmt w:val="bullet"/>
      <w:lvlText w:val=""/>
      <w:lvlJc w:val="left"/>
      <w:pPr>
        <w:ind w:left="6480" w:hanging="360"/>
      </w:pPr>
      <w:rPr>
        <w:rFonts w:ascii="Wingdings" w:hAnsi="Wingdings" w:hint="default"/>
      </w:rPr>
    </w:lvl>
  </w:abstractNum>
  <w:abstractNum w:abstractNumId="23" w15:restartNumberingAfterBreak="0">
    <w:nsid w:val="72284700"/>
    <w:multiLevelType w:val="hybridMultilevel"/>
    <w:tmpl w:val="248A2210"/>
    <w:lvl w:ilvl="0" w:tplc="DA96424A">
      <w:start w:val="1"/>
      <w:numFmt w:val="decimal"/>
      <w:lvlText w:val="%1."/>
      <w:lvlJc w:val="left"/>
      <w:pPr>
        <w:ind w:left="2160" w:hanging="720"/>
      </w:pPr>
      <w:rPr>
        <w:rFonts w:hint="default"/>
      </w:rPr>
    </w:lvl>
    <w:lvl w:ilvl="1" w:tplc="5F80320A" w:tentative="1">
      <w:start w:val="1"/>
      <w:numFmt w:val="lowerLetter"/>
      <w:lvlText w:val="%2."/>
      <w:lvlJc w:val="left"/>
      <w:pPr>
        <w:ind w:left="1440" w:hanging="360"/>
      </w:pPr>
    </w:lvl>
    <w:lvl w:ilvl="2" w:tplc="F4108C68" w:tentative="1">
      <w:start w:val="1"/>
      <w:numFmt w:val="lowerRoman"/>
      <w:lvlText w:val="%3."/>
      <w:lvlJc w:val="right"/>
      <w:pPr>
        <w:ind w:left="2160" w:hanging="180"/>
      </w:pPr>
    </w:lvl>
    <w:lvl w:ilvl="3" w:tplc="FC70F38A" w:tentative="1">
      <w:start w:val="1"/>
      <w:numFmt w:val="decimal"/>
      <w:lvlText w:val="%4."/>
      <w:lvlJc w:val="left"/>
      <w:pPr>
        <w:ind w:left="2880" w:hanging="360"/>
      </w:pPr>
    </w:lvl>
    <w:lvl w:ilvl="4" w:tplc="B6043810" w:tentative="1">
      <w:start w:val="1"/>
      <w:numFmt w:val="lowerLetter"/>
      <w:lvlText w:val="%5."/>
      <w:lvlJc w:val="left"/>
      <w:pPr>
        <w:ind w:left="3600" w:hanging="360"/>
      </w:pPr>
    </w:lvl>
    <w:lvl w:ilvl="5" w:tplc="359AA36C" w:tentative="1">
      <w:start w:val="1"/>
      <w:numFmt w:val="lowerRoman"/>
      <w:lvlText w:val="%6."/>
      <w:lvlJc w:val="right"/>
      <w:pPr>
        <w:ind w:left="4320" w:hanging="180"/>
      </w:pPr>
    </w:lvl>
    <w:lvl w:ilvl="6" w:tplc="1102E060" w:tentative="1">
      <w:start w:val="1"/>
      <w:numFmt w:val="decimal"/>
      <w:lvlText w:val="%7."/>
      <w:lvlJc w:val="left"/>
      <w:pPr>
        <w:ind w:left="5040" w:hanging="360"/>
      </w:pPr>
    </w:lvl>
    <w:lvl w:ilvl="7" w:tplc="3C9EC328" w:tentative="1">
      <w:start w:val="1"/>
      <w:numFmt w:val="lowerLetter"/>
      <w:lvlText w:val="%8."/>
      <w:lvlJc w:val="left"/>
      <w:pPr>
        <w:ind w:left="5760" w:hanging="360"/>
      </w:pPr>
    </w:lvl>
    <w:lvl w:ilvl="8" w:tplc="889427C4" w:tentative="1">
      <w:start w:val="1"/>
      <w:numFmt w:val="lowerRoman"/>
      <w:lvlText w:val="%9."/>
      <w:lvlJc w:val="right"/>
      <w:pPr>
        <w:ind w:left="6480" w:hanging="180"/>
      </w:pPr>
    </w:lvl>
  </w:abstractNum>
  <w:num w:numId="1">
    <w:abstractNumId w:val="19"/>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9"/>
  </w:num>
  <w:num w:numId="22">
    <w:abstractNumId w:val="21"/>
  </w:num>
  <w:num w:numId="23">
    <w:abstractNumId w:val="15"/>
  </w:num>
  <w:num w:numId="24">
    <w:abstractNumId w:val="20"/>
  </w:num>
  <w:num w:numId="25">
    <w:abstractNumId w:val="16"/>
  </w:num>
  <w:num w:numId="26">
    <w:abstractNumId w:val="11"/>
  </w:num>
  <w:num w:numId="27">
    <w:abstractNumId w:val="17"/>
  </w:num>
  <w:num w:numId="28">
    <w:abstractNumId w:val="23"/>
  </w:num>
  <w:num w:numId="29">
    <w:abstractNumId w:val="18"/>
  </w:num>
  <w:num w:numId="30">
    <w:abstractNumId w:val="14"/>
  </w:num>
  <w:num w:numId="31">
    <w:abstractNumId w:val="17"/>
    <w:lvlOverride w:ilvl="0">
      <w:lvl w:ilvl="0" w:tplc="3AB830E0">
        <w:start w:val="1"/>
        <w:numFmt w:val="decimal"/>
        <w:lvlText w:val="%1."/>
        <w:lvlJc w:val="left"/>
        <w:pPr>
          <w:ind w:left="2160" w:hanging="720"/>
        </w:pPr>
        <w:rPr>
          <w:rFonts w:hint="default"/>
          <w:color w:val="000000" w:themeColor="text1"/>
          <w:u w:val="none"/>
        </w:rPr>
      </w:lvl>
    </w:lvlOverride>
    <w:lvlOverride w:ilvl="1">
      <w:lvl w:ilvl="1" w:tplc="4B72BF88" w:tentative="1">
        <w:start w:val="1"/>
        <w:numFmt w:val="lowerLetter"/>
        <w:lvlText w:val="%2."/>
        <w:lvlJc w:val="left"/>
        <w:pPr>
          <w:ind w:left="2520" w:hanging="360"/>
        </w:pPr>
        <w:rPr>
          <w:color w:val="0000FF"/>
          <w:u w:val="double"/>
        </w:rPr>
      </w:lvl>
    </w:lvlOverride>
    <w:lvlOverride w:ilvl="2">
      <w:lvl w:ilvl="2" w:tplc="52D2A06E" w:tentative="1">
        <w:start w:val="1"/>
        <w:numFmt w:val="lowerRoman"/>
        <w:lvlText w:val="%3."/>
        <w:lvlJc w:val="right"/>
        <w:pPr>
          <w:ind w:left="3240" w:hanging="180"/>
        </w:pPr>
        <w:rPr>
          <w:color w:val="0000FF"/>
          <w:u w:val="double"/>
        </w:rPr>
      </w:lvl>
    </w:lvlOverride>
    <w:lvlOverride w:ilvl="3">
      <w:lvl w:ilvl="3" w:tplc="2D0CAF14" w:tentative="1">
        <w:start w:val="1"/>
        <w:numFmt w:val="decimal"/>
        <w:lvlText w:val="%4."/>
        <w:lvlJc w:val="left"/>
        <w:pPr>
          <w:ind w:left="3960" w:hanging="360"/>
        </w:pPr>
        <w:rPr>
          <w:color w:val="0000FF"/>
          <w:u w:val="double"/>
        </w:rPr>
      </w:lvl>
    </w:lvlOverride>
    <w:lvlOverride w:ilvl="4">
      <w:lvl w:ilvl="4" w:tplc="48204942" w:tentative="1">
        <w:start w:val="1"/>
        <w:numFmt w:val="lowerLetter"/>
        <w:lvlText w:val="%5."/>
        <w:lvlJc w:val="left"/>
        <w:pPr>
          <w:ind w:left="4680" w:hanging="360"/>
        </w:pPr>
        <w:rPr>
          <w:color w:val="0000FF"/>
          <w:u w:val="double"/>
        </w:rPr>
      </w:lvl>
    </w:lvlOverride>
    <w:lvlOverride w:ilvl="5">
      <w:lvl w:ilvl="5" w:tplc="B82ADA58" w:tentative="1">
        <w:start w:val="1"/>
        <w:numFmt w:val="lowerRoman"/>
        <w:lvlText w:val="%6."/>
        <w:lvlJc w:val="right"/>
        <w:pPr>
          <w:ind w:left="5400" w:hanging="180"/>
        </w:pPr>
        <w:rPr>
          <w:color w:val="0000FF"/>
          <w:u w:val="double"/>
        </w:rPr>
      </w:lvl>
    </w:lvlOverride>
    <w:lvlOverride w:ilvl="6">
      <w:lvl w:ilvl="6" w:tplc="DE480DE0" w:tentative="1">
        <w:start w:val="1"/>
        <w:numFmt w:val="decimal"/>
        <w:lvlText w:val="%7."/>
        <w:lvlJc w:val="left"/>
        <w:pPr>
          <w:ind w:left="6120" w:hanging="360"/>
        </w:pPr>
        <w:rPr>
          <w:color w:val="0000FF"/>
          <w:u w:val="double"/>
        </w:rPr>
      </w:lvl>
    </w:lvlOverride>
    <w:lvlOverride w:ilvl="7">
      <w:lvl w:ilvl="7" w:tplc="C4905AE6" w:tentative="1">
        <w:start w:val="1"/>
        <w:numFmt w:val="lowerLetter"/>
        <w:lvlText w:val="%8."/>
        <w:lvlJc w:val="left"/>
        <w:pPr>
          <w:ind w:left="6840" w:hanging="360"/>
        </w:pPr>
        <w:rPr>
          <w:color w:val="0000FF"/>
          <w:u w:val="double"/>
        </w:rPr>
      </w:lvl>
    </w:lvlOverride>
    <w:lvlOverride w:ilvl="8">
      <w:lvl w:ilvl="8" w:tplc="AB148ABA" w:tentative="1">
        <w:start w:val="1"/>
        <w:numFmt w:val="lowerRoman"/>
        <w:lvlText w:val="%9."/>
        <w:lvlJc w:val="right"/>
        <w:pPr>
          <w:ind w:left="7560" w:hanging="180"/>
        </w:pPr>
        <w:rPr>
          <w:color w:val="0000FF"/>
          <w:u w:val="double"/>
        </w:rPr>
      </w:lvl>
    </w:lvlOverride>
  </w:num>
  <w:num w:numId="32">
    <w:abstractNumId w:val="14"/>
    <w:lvlOverride w:ilvl="0">
      <w:lvl w:ilvl="0" w:tplc="91F4D500">
        <w:start w:val="1"/>
        <w:numFmt w:val="bullet"/>
        <w:lvlText w:val=""/>
        <w:lvlJc w:val="left"/>
        <w:pPr>
          <w:ind w:left="720" w:hanging="360"/>
        </w:pPr>
        <w:rPr>
          <w:rFonts w:ascii="Symbol" w:hAnsi="Symbol" w:hint="default"/>
          <w:color w:val="000000" w:themeColor="text1"/>
          <w:u w:val="none"/>
        </w:rPr>
      </w:lvl>
    </w:lvlOverride>
    <w:lvlOverride w:ilvl="1">
      <w:lvl w:ilvl="1" w:tplc="1F126FCC" w:tentative="1">
        <w:start w:val="1"/>
        <w:numFmt w:val="bullet"/>
        <w:lvlText w:val="o"/>
        <w:lvlJc w:val="left"/>
        <w:pPr>
          <w:ind w:left="1440" w:hanging="360"/>
        </w:pPr>
        <w:rPr>
          <w:rFonts w:ascii="Courier New" w:hAnsi="Courier New" w:cs="Courier New" w:hint="default"/>
          <w:color w:val="0000FF"/>
          <w:u w:val="double"/>
        </w:rPr>
      </w:lvl>
    </w:lvlOverride>
    <w:lvlOverride w:ilvl="2">
      <w:lvl w:ilvl="2" w:tplc="5360FAC0" w:tentative="1">
        <w:start w:val="1"/>
        <w:numFmt w:val="bullet"/>
        <w:lvlText w:val=""/>
        <w:lvlJc w:val="left"/>
        <w:pPr>
          <w:ind w:left="2160" w:hanging="360"/>
        </w:pPr>
        <w:rPr>
          <w:rFonts w:ascii="Wingdings" w:hAnsi="Wingdings" w:hint="default"/>
          <w:color w:val="0000FF"/>
          <w:u w:val="double"/>
        </w:rPr>
      </w:lvl>
    </w:lvlOverride>
    <w:lvlOverride w:ilvl="3">
      <w:lvl w:ilvl="3" w:tplc="52FAAD08" w:tentative="1">
        <w:start w:val="1"/>
        <w:numFmt w:val="bullet"/>
        <w:lvlText w:val=""/>
        <w:lvlJc w:val="left"/>
        <w:pPr>
          <w:ind w:left="2880" w:hanging="360"/>
        </w:pPr>
        <w:rPr>
          <w:rFonts w:ascii="Symbol" w:hAnsi="Symbol" w:hint="default"/>
          <w:color w:val="0000FF"/>
          <w:u w:val="double"/>
        </w:rPr>
      </w:lvl>
    </w:lvlOverride>
    <w:lvlOverride w:ilvl="4">
      <w:lvl w:ilvl="4" w:tplc="802CBEEA" w:tentative="1">
        <w:start w:val="1"/>
        <w:numFmt w:val="bullet"/>
        <w:lvlText w:val="o"/>
        <w:lvlJc w:val="left"/>
        <w:pPr>
          <w:ind w:left="3600" w:hanging="360"/>
        </w:pPr>
        <w:rPr>
          <w:rFonts w:ascii="Courier New" w:hAnsi="Courier New" w:cs="Courier New" w:hint="default"/>
          <w:color w:val="0000FF"/>
          <w:u w:val="double"/>
        </w:rPr>
      </w:lvl>
    </w:lvlOverride>
    <w:lvlOverride w:ilvl="5">
      <w:lvl w:ilvl="5" w:tplc="BCB88A24" w:tentative="1">
        <w:start w:val="1"/>
        <w:numFmt w:val="bullet"/>
        <w:lvlText w:val=""/>
        <w:lvlJc w:val="left"/>
        <w:pPr>
          <w:ind w:left="4320" w:hanging="360"/>
        </w:pPr>
        <w:rPr>
          <w:rFonts w:ascii="Wingdings" w:hAnsi="Wingdings" w:hint="default"/>
          <w:color w:val="0000FF"/>
          <w:u w:val="double"/>
        </w:rPr>
      </w:lvl>
    </w:lvlOverride>
    <w:lvlOverride w:ilvl="6">
      <w:lvl w:ilvl="6" w:tplc="1F8EF9C4" w:tentative="1">
        <w:start w:val="1"/>
        <w:numFmt w:val="bullet"/>
        <w:lvlText w:val=""/>
        <w:lvlJc w:val="left"/>
        <w:pPr>
          <w:ind w:left="5040" w:hanging="360"/>
        </w:pPr>
        <w:rPr>
          <w:rFonts w:ascii="Symbol" w:hAnsi="Symbol" w:hint="default"/>
          <w:color w:val="0000FF"/>
          <w:u w:val="double"/>
        </w:rPr>
      </w:lvl>
    </w:lvlOverride>
    <w:lvlOverride w:ilvl="7">
      <w:lvl w:ilvl="7" w:tplc="67F488C2" w:tentative="1">
        <w:start w:val="1"/>
        <w:numFmt w:val="bullet"/>
        <w:lvlText w:val="o"/>
        <w:lvlJc w:val="left"/>
        <w:pPr>
          <w:ind w:left="5760" w:hanging="360"/>
        </w:pPr>
        <w:rPr>
          <w:rFonts w:ascii="Courier New" w:hAnsi="Courier New" w:cs="Courier New" w:hint="default"/>
          <w:color w:val="0000FF"/>
          <w:u w:val="double"/>
        </w:rPr>
      </w:lvl>
    </w:lvlOverride>
    <w:lvlOverride w:ilvl="8">
      <w:lvl w:ilvl="8" w:tplc="2588230E" w:tentative="1">
        <w:start w:val="1"/>
        <w:numFmt w:val="bullet"/>
        <w:lvlText w:val=""/>
        <w:lvlJc w:val="left"/>
        <w:pPr>
          <w:ind w:left="6480" w:hanging="360"/>
        </w:pPr>
        <w:rPr>
          <w:rFonts w:ascii="Wingdings" w:hAnsi="Wingdings" w:hint="default"/>
          <w:color w:val="0000FF"/>
          <w:u w:val="double"/>
        </w:rPr>
      </w:lvl>
    </w:lvlOverride>
  </w:num>
  <w:num w:numId="33">
    <w:abstractNumId w:val="18"/>
    <w:lvlOverride w:ilvl="0">
      <w:lvl w:ilvl="0" w:tplc="6D1C44A4">
        <w:start w:val="1"/>
        <w:numFmt w:val="bullet"/>
        <w:lvlText w:val=""/>
        <w:lvlJc w:val="left"/>
        <w:pPr>
          <w:ind w:left="720" w:hanging="360"/>
        </w:pPr>
        <w:rPr>
          <w:rFonts w:ascii="Symbol" w:hAnsi="Symbol" w:hint="default"/>
          <w:color w:val="0000FF"/>
          <w:u w:val="double"/>
        </w:rPr>
      </w:lvl>
    </w:lvlOverride>
    <w:lvlOverride w:ilvl="1">
      <w:lvl w:ilvl="1" w:tplc="9DCE6B3A" w:tentative="1">
        <w:start w:val="1"/>
        <w:numFmt w:val="bullet"/>
        <w:lvlText w:val="o"/>
        <w:lvlJc w:val="left"/>
        <w:pPr>
          <w:ind w:left="1440" w:hanging="360"/>
        </w:pPr>
        <w:rPr>
          <w:rFonts w:ascii="Courier New" w:hAnsi="Courier New" w:cs="Courier New" w:hint="default"/>
          <w:color w:val="0000FF"/>
          <w:u w:val="double"/>
        </w:rPr>
      </w:lvl>
    </w:lvlOverride>
    <w:lvlOverride w:ilvl="2">
      <w:lvl w:ilvl="2" w:tplc="19229178" w:tentative="1">
        <w:start w:val="1"/>
        <w:numFmt w:val="bullet"/>
        <w:lvlText w:val=""/>
        <w:lvlJc w:val="left"/>
        <w:pPr>
          <w:ind w:left="2160" w:hanging="360"/>
        </w:pPr>
        <w:rPr>
          <w:rFonts w:ascii="Wingdings" w:hAnsi="Wingdings" w:hint="default"/>
          <w:color w:val="0000FF"/>
          <w:u w:val="double"/>
        </w:rPr>
      </w:lvl>
    </w:lvlOverride>
    <w:lvlOverride w:ilvl="3">
      <w:lvl w:ilvl="3" w:tplc="507E666E" w:tentative="1">
        <w:start w:val="1"/>
        <w:numFmt w:val="bullet"/>
        <w:lvlText w:val=""/>
        <w:lvlJc w:val="left"/>
        <w:pPr>
          <w:ind w:left="2880" w:hanging="360"/>
        </w:pPr>
        <w:rPr>
          <w:rFonts w:ascii="Symbol" w:hAnsi="Symbol" w:hint="default"/>
          <w:color w:val="0000FF"/>
          <w:u w:val="double"/>
        </w:rPr>
      </w:lvl>
    </w:lvlOverride>
    <w:lvlOverride w:ilvl="4">
      <w:lvl w:ilvl="4" w:tplc="283AB062" w:tentative="1">
        <w:start w:val="1"/>
        <w:numFmt w:val="bullet"/>
        <w:lvlText w:val="o"/>
        <w:lvlJc w:val="left"/>
        <w:pPr>
          <w:ind w:left="3600" w:hanging="360"/>
        </w:pPr>
        <w:rPr>
          <w:rFonts w:ascii="Courier New" w:hAnsi="Courier New" w:cs="Courier New" w:hint="default"/>
          <w:color w:val="0000FF"/>
          <w:u w:val="double"/>
        </w:rPr>
      </w:lvl>
    </w:lvlOverride>
    <w:lvlOverride w:ilvl="5">
      <w:lvl w:ilvl="5" w:tplc="31C84B0C" w:tentative="1">
        <w:start w:val="1"/>
        <w:numFmt w:val="bullet"/>
        <w:lvlText w:val=""/>
        <w:lvlJc w:val="left"/>
        <w:pPr>
          <w:ind w:left="4320" w:hanging="360"/>
        </w:pPr>
        <w:rPr>
          <w:rFonts w:ascii="Wingdings" w:hAnsi="Wingdings" w:hint="default"/>
          <w:color w:val="0000FF"/>
          <w:u w:val="double"/>
        </w:rPr>
      </w:lvl>
    </w:lvlOverride>
    <w:lvlOverride w:ilvl="6">
      <w:lvl w:ilvl="6" w:tplc="7ADE3202" w:tentative="1">
        <w:start w:val="1"/>
        <w:numFmt w:val="bullet"/>
        <w:lvlText w:val=""/>
        <w:lvlJc w:val="left"/>
        <w:pPr>
          <w:ind w:left="5040" w:hanging="360"/>
        </w:pPr>
        <w:rPr>
          <w:rFonts w:ascii="Symbol" w:hAnsi="Symbol" w:hint="default"/>
          <w:color w:val="0000FF"/>
          <w:u w:val="double"/>
        </w:rPr>
      </w:lvl>
    </w:lvlOverride>
    <w:lvlOverride w:ilvl="7">
      <w:lvl w:ilvl="7" w:tplc="F7587C12" w:tentative="1">
        <w:start w:val="1"/>
        <w:numFmt w:val="bullet"/>
        <w:lvlText w:val="o"/>
        <w:lvlJc w:val="left"/>
        <w:pPr>
          <w:ind w:left="5760" w:hanging="360"/>
        </w:pPr>
        <w:rPr>
          <w:rFonts w:ascii="Courier New" w:hAnsi="Courier New" w:cs="Courier New" w:hint="default"/>
          <w:color w:val="0000FF"/>
          <w:u w:val="double"/>
        </w:rPr>
      </w:lvl>
    </w:lvlOverride>
    <w:lvlOverride w:ilvl="8">
      <w:lvl w:ilvl="8" w:tplc="4312928A" w:tentative="1">
        <w:start w:val="1"/>
        <w:numFmt w:val="bullet"/>
        <w:lvlText w:val=""/>
        <w:lvlJc w:val="left"/>
        <w:pPr>
          <w:ind w:left="6480" w:hanging="360"/>
        </w:pPr>
        <w:rPr>
          <w:rFonts w:ascii="Wingdings" w:hAnsi="Wingdings" w:hint="default"/>
          <w:color w:val="0000FF"/>
          <w:u w:val="double"/>
        </w:rPr>
      </w:lvl>
    </w:lvlOverride>
  </w:num>
  <w:num w:numId="34">
    <w:abstractNumId w:val="13"/>
  </w:num>
  <w:num w:numId="35">
    <w:abstractNumId w:val="22"/>
  </w:num>
  <w:num w:numId="36">
    <w:abstractNumId w:val="6"/>
  </w:num>
  <w:num w:numId="37">
    <w:abstractNumId w:val="6"/>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10"/>
  <w:drawingGridVerticalSpacing w:val="299"/>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42"/>
    <w:rsid w:val="008B5EDC"/>
    <w:rsid w:val="00B2302E"/>
    <w:rsid w:val="00B64042"/>
    <w:rsid w:val="00CD2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link w:val="Heading1Char"/>
    <w:qFormat/>
    <w:pPr>
      <w:keepNext/>
      <w:numPr>
        <w:numId w:val="20"/>
      </w:numPr>
      <w:spacing w:before="480" w:after="240"/>
      <w:jc w:val="center"/>
      <w:outlineLvl w:val="0"/>
    </w:pPr>
    <w:rPr>
      <w:rFonts w:cs="Arial"/>
      <w:b/>
      <w:bCs/>
      <w:caps/>
      <w:kern w:val="32"/>
    </w:rPr>
  </w:style>
  <w:style w:type="paragraph" w:styleId="Heading2">
    <w:name w:val="heading 2"/>
    <w:basedOn w:val="Normal"/>
    <w:next w:val="BodyText"/>
    <w:link w:val="Heading2Char"/>
    <w:qFormat/>
    <w:pPr>
      <w:numPr>
        <w:ilvl w:val="1"/>
        <w:numId w:val="20"/>
      </w:numPr>
      <w:spacing w:after="240"/>
      <w:jc w:val="both"/>
      <w:outlineLvl w:val="1"/>
    </w:pPr>
    <w:rPr>
      <w:rFonts w:cs="Arial"/>
      <w:bCs/>
      <w:iCs/>
    </w:rPr>
  </w:style>
  <w:style w:type="paragraph" w:styleId="Heading3">
    <w:name w:val="heading 3"/>
    <w:basedOn w:val="Heading2"/>
    <w:next w:val="BodyText"/>
    <w:link w:val="Heading3Char"/>
    <w:qFormat/>
    <w:pPr>
      <w:numPr>
        <w:ilvl w:val="2"/>
      </w:numPr>
      <w:outlineLvl w:val="2"/>
    </w:pPr>
    <w:rPr>
      <w:bCs w:val="0"/>
      <w:szCs w:val="26"/>
    </w:rPr>
  </w:style>
  <w:style w:type="paragraph" w:styleId="Heading4">
    <w:name w:val="heading 4"/>
    <w:basedOn w:val="Heading3"/>
    <w:next w:val="BodyText"/>
    <w:link w:val="Heading4Char"/>
    <w:qFormat/>
    <w:pPr>
      <w:numPr>
        <w:ilvl w:val="3"/>
      </w:numPr>
      <w:outlineLvl w:val="3"/>
    </w:pPr>
    <w:rPr>
      <w:bCs/>
      <w:szCs w:val="28"/>
    </w:rPr>
  </w:style>
  <w:style w:type="paragraph" w:styleId="Heading5">
    <w:name w:val="heading 5"/>
    <w:basedOn w:val="Heading4"/>
    <w:next w:val="Normal"/>
    <w:link w:val="Heading5Char"/>
    <w:qFormat/>
    <w:pPr>
      <w:numPr>
        <w:ilvl w:val="4"/>
      </w:numPr>
      <w:outlineLvl w:val="4"/>
    </w:pPr>
    <w:rPr>
      <w:bCs w:val="0"/>
      <w:iCs w:val="0"/>
      <w:szCs w:val="26"/>
    </w:rPr>
  </w:style>
  <w:style w:type="paragraph" w:styleId="Heading6">
    <w:name w:val="heading 6"/>
    <w:basedOn w:val="Normal"/>
    <w:next w:val="Normal"/>
    <w:link w:val="Heading6Char"/>
    <w:qFormat/>
    <w:pPr>
      <w:numPr>
        <w:ilvl w:val="5"/>
        <w:numId w:val="20"/>
      </w:numPr>
      <w:spacing w:before="240" w:after="240"/>
      <w:outlineLvl w:val="5"/>
    </w:pPr>
    <w:rPr>
      <w:bCs/>
      <w:sz w:val="22"/>
      <w:szCs w:val="22"/>
    </w:rPr>
  </w:style>
  <w:style w:type="paragraph" w:styleId="Heading7">
    <w:name w:val="heading 7"/>
    <w:basedOn w:val="Normal"/>
    <w:next w:val="BodyText"/>
    <w:link w:val="Heading7Char"/>
    <w:autoRedefine/>
    <w:qFormat/>
    <w:pPr>
      <w:numPr>
        <w:ilvl w:val="6"/>
        <w:numId w:val="20"/>
      </w:numPr>
      <w:spacing w:after="240"/>
      <w:jc w:val="both"/>
      <w:outlineLvl w:val="6"/>
    </w:pPr>
  </w:style>
  <w:style w:type="paragraph" w:styleId="Heading8">
    <w:name w:val="heading 8"/>
    <w:basedOn w:val="Normal"/>
    <w:next w:val="Normal"/>
    <w:link w:val="Heading8Char"/>
    <w:qFormat/>
    <w:pPr>
      <w:numPr>
        <w:ilvl w:val="7"/>
        <w:numId w:val="20"/>
      </w:numPr>
      <w:spacing w:before="240" w:after="60"/>
      <w:outlineLvl w:val="7"/>
    </w:pPr>
    <w:rPr>
      <w:i/>
      <w:iCs/>
    </w:rPr>
  </w:style>
  <w:style w:type="paragraph" w:styleId="Heading9">
    <w:name w:val="heading 9"/>
    <w:basedOn w:val="Normal"/>
    <w:next w:val="Normal"/>
    <w:link w:val="Heading9Char"/>
    <w:qFormat/>
    <w:pPr>
      <w:spacing w:before="120" w:after="120"/>
      <w:jc w:val="both"/>
      <w:outlineLvl w:val="8"/>
    </w:pPr>
    <w:rPr>
      <w:rFonts w:cs="Arial"/>
      <w:color w:val="808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18"/>
      <w:szCs w:val="18"/>
    </w:rPr>
  </w:style>
  <w:style w:type="character" w:styleId="FootnoteReference">
    <w:name w:val="footnote reference"/>
    <w:basedOn w:val="DefaultParagraphFont"/>
    <w:semiHidden/>
    <w:rPr>
      <w:vertAlign w:val="superscript"/>
    </w:rPr>
  </w:style>
  <w:style w:type="paragraph" w:styleId="Header">
    <w:name w:val="header"/>
    <w:basedOn w:val="Normal"/>
    <w:link w:val="HeaderChar"/>
  </w:style>
  <w:style w:type="paragraph" w:styleId="Footer">
    <w:name w:val="footer"/>
    <w:basedOn w:val="Normal"/>
    <w:link w:val="FooterChar"/>
    <w:rPr>
      <w:sz w:val="16"/>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cs="Arial"/>
      <w:b/>
      <w:bCs/>
      <w:caps/>
      <w:kern w:val="32"/>
      <w:sz w:val="24"/>
      <w:szCs w:val="24"/>
    </w:rPr>
  </w:style>
  <w:style w:type="paragraph" w:styleId="BodyText">
    <w:name w:val="Body Text"/>
    <w:basedOn w:val="Normal"/>
    <w:link w:val="BodyTextChar"/>
    <w:qFormat/>
    <w:pPr>
      <w:spacing w:after="240"/>
    </w:pPr>
    <w:rPr>
      <w:color w:val="000000"/>
    </w:rPr>
  </w:style>
  <w:style w:type="character" w:customStyle="1" w:styleId="BodyTextChar">
    <w:name w:val="Body Text Char"/>
    <w:basedOn w:val="DefaultParagraphFont"/>
    <w:link w:val="BodyText"/>
    <w:rPr>
      <w:color w:val="000000"/>
      <w:sz w:val="24"/>
      <w:szCs w:val="24"/>
    </w:rPr>
  </w:style>
  <w:style w:type="paragraph" w:styleId="Quote">
    <w:name w:val="Quote"/>
    <w:basedOn w:val="Normal"/>
    <w:next w:val="Normal"/>
    <w:link w:val="QuoteChar"/>
    <w:uiPriority w:val="29"/>
    <w:qFormat/>
    <w:pPr>
      <w:spacing w:after="240"/>
      <w:ind w:left="720" w:right="720"/>
    </w:pPr>
    <w:rPr>
      <w:iCs/>
      <w:szCs w:val="20"/>
    </w:rPr>
  </w:style>
  <w:style w:type="character" w:customStyle="1" w:styleId="QuoteChar">
    <w:name w:val="Quote Char"/>
    <w:basedOn w:val="DefaultParagraphFont"/>
    <w:link w:val="Quote"/>
    <w:uiPriority w:val="29"/>
    <w:rPr>
      <w:iCs/>
      <w:sz w:val="24"/>
    </w:rPr>
  </w:style>
  <w:style w:type="paragraph" w:styleId="ListBullet">
    <w:name w:val="List Bullet"/>
    <w:basedOn w:val="Normal"/>
    <w:qFormat/>
    <w:pPr>
      <w:numPr>
        <w:numId w:val="21"/>
      </w:numPr>
      <w:ind w:right="650"/>
    </w:pPr>
    <w:rPr>
      <w:szCs w:val="20"/>
    </w:rPr>
  </w:style>
  <w:style w:type="character" w:customStyle="1" w:styleId="FooterChar">
    <w:name w:val="Footer Char"/>
    <w:basedOn w:val="DefaultParagraphFont"/>
    <w:link w:val="Footer"/>
    <w:rPr>
      <w:sz w:val="16"/>
      <w:szCs w:val="24"/>
    </w:rPr>
  </w:style>
  <w:style w:type="character" w:customStyle="1" w:styleId="HeaderChar">
    <w:name w:val="Header Char"/>
    <w:basedOn w:val="DefaultParagraphFont"/>
    <w:link w:val="Header"/>
    <w:rPr>
      <w:sz w:val="24"/>
      <w:szCs w:val="24"/>
    </w:rPr>
  </w:style>
  <w:style w:type="character" w:customStyle="1" w:styleId="Heading2Char">
    <w:name w:val="Heading 2 Char"/>
    <w:basedOn w:val="DefaultParagraphFont"/>
    <w:link w:val="Heading2"/>
    <w:rPr>
      <w:rFonts w:cs="Arial"/>
      <w:bCs/>
      <w:iCs/>
      <w:sz w:val="24"/>
      <w:szCs w:val="24"/>
    </w:rPr>
  </w:style>
  <w:style w:type="character" w:customStyle="1" w:styleId="Heading3Char">
    <w:name w:val="Heading 3 Char"/>
    <w:basedOn w:val="DefaultParagraphFont"/>
    <w:link w:val="Heading3"/>
    <w:rPr>
      <w:rFonts w:cs="Arial"/>
      <w:iCs/>
      <w:sz w:val="24"/>
      <w:szCs w:val="26"/>
    </w:rPr>
  </w:style>
  <w:style w:type="character" w:customStyle="1" w:styleId="Heading4Char">
    <w:name w:val="Heading 4 Char"/>
    <w:basedOn w:val="DefaultParagraphFont"/>
    <w:link w:val="Heading4"/>
    <w:rPr>
      <w:rFonts w:cs="Arial"/>
      <w:bCs/>
      <w:iCs/>
      <w:sz w:val="24"/>
      <w:szCs w:val="28"/>
    </w:rPr>
  </w:style>
  <w:style w:type="character" w:customStyle="1" w:styleId="Heading5Char">
    <w:name w:val="Heading 5 Char"/>
    <w:basedOn w:val="DefaultParagraphFont"/>
    <w:link w:val="Heading5"/>
    <w:rPr>
      <w:rFonts w:cs="Arial"/>
      <w:sz w:val="24"/>
      <w:szCs w:val="26"/>
    </w:rPr>
  </w:style>
  <w:style w:type="character" w:customStyle="1" w:styleId="Heading6Char">
    <w:name w:val="Heading 6 Char"/>
    <w:basedOn w:val="DefaultParagraphFont"/>
    <w:link w:val="Heading6"/>
    <w:rPr>
      <w:bCs/>
      <w:sz w:val="22"/>
      <w:szCs w:val="22"/>
    </w:rPr>
  </w:style>
  <w:style w:type="character" w:customStyle="1" w:styleId="Heading7Char">
    <w:name w:val="Heading 7 Char"/>
    <w:basedOn w:val="DefaultParagraphFont"/>
    <w:link w:val="Heading7"/>
    <w:rPr>
      <w:sz w:val="24"/>
      <w:szCs w:val="24"/>
    </w:rPr>
  </w:style>
  <w:style w:type="character" w:customStyle="1" w:styleId="Heading8Char">
    <w:name w:val="Heading 8 Char"/>
    <w:basedOn w:val="DefaultParagraphFont"/>
    <w:link w:val="Heading8"/>
    <w:rPr>
      <w:i/>
      <w:iCs/>
      <w:sz w:val="24"/>
      <w:szCs w:val="24"/>
    </w:rPr>
  </w:style>
  <w:style w:type="character" w:customStyle="1" w:styleId="Heading9Char">
    <w:name w:val="Heading 9 Char"/>
    <w:basedOn w:val="DefaultParagraphFont"/>
    <w:link w:val="Heading9"/>
    <w:rPr>
      <w:rFonts w:cs="Arial"/>
      <w:color w:val="808080"/>
      <w:sz w:val="24"/>
      <w:szCs w:val="22"/>
    </w:rPr>
  </w:style>
  <w:style w:type="paragraph" w:customStyle="1" w:styleId="Page">
    <w:name w:val="Page"/>
    <w:basedOn w:val="Footer"/>
    <w:pPr>
      <w:jc w:val="center"/>
    </w:pPr>
    <w:rPr>
      <w:sz w:val="24"/>
    </w:rPr>
  </w:style>
  <w:style w:type="paragraph" w:styleId="TOC1">
    <w:name w:val="toc 1"/>
    <w:basedOn w:val="Normal"/>
    <w:next w:val="Normal"/>
    <w:uiPriority w:val="39"/>
    <w:pPr>
      <w:tabs>
        <w:tab w:val="left" w:pos="1440"/>
        <w:tab w:val="right" w:leader="dot" w:pos="9274"/>
      </w:tabs>
      <w:spacing w:before="120" w:after="120"/>
      <w:outlineLvl w:val="0"/>
    </w:pPr>
  </w:style>
  <w:style w:type="paragraph" w:styleId="TOC2">
    <w:name w:val="toc 2"/>
    <w:basedOn w:val="Normal"/>
    <w:next w:val="Normal"/>
    <w:uiPriority w:val="39"/>
    <w:pPr>
      <w:tabs>
        <w:tab w:val="left" w:pos="2880"/>
        <w:tab w:val="right" w:leader="dot" w:pos="9274"/>
      </w:tabs>
      <w:ind w:left="2880" w:right="720" w:hanging="1440"/>
    </w:pPr>
  </w:style>
  <w:style w:type="paragraph" w:styleId="TOC3">
    <w:name w:val="toc 3"/>
    <w:basedOn w:val="Normal"/>
    <w:next w:val="Normal"/>
    <w:autoRedefine/>
    <w:uiPriority w:val="39"/>
    <w:pPr>
      <w:tabs>
        <w:tab w:val="left" w:pos="3600"/>
        <w:tab w:val="right" w:leader="dot" w:pos="9274"/>
      </w:tabs>
      <w:ind w:left="2880"/>
    </w:pPr>
  </w:style>
  <w:style w:type="paragraph" w:styleId="TOC4">
    <w:name w:val="toc 4"/>
    <w:basedOn w:val="Normal"/>
    <w:next w:val="Normal"/>
    <w:autoRedefine/>
    <w:uiPriority w:val="39"/>
    <w:pPr>
      <w:ind w:left="720"/>
    </w:pPr>
  </w:style>
  <w:style w:type="paragraph" w:styleId="TOC5">
    <w:name w:val="toc 5"/>
    <w:basedOn w:val="Normal"/>
    <w:next w:val="Normal"/>
    <w:uiPriority w:val="39"/>
    <w:pPr>
      <w:tabs>
        <w:tab w:val="left" w:pos="1440"/>
        <w:tab w:val="left" w:pos="3600"/>
        <w:tab w:val="right" w:leader="dot" w:pos="9274"/>
      </w:tabs>
      <w:ind w:left="3600" w:right="720" w:hanging="720"/>
    </w:pPr>
  </w:style>
  <w:style w:type="paragraph" w:customStyle="1" w:styleId="BodyTextBlock">
    <w:name w:val="Body Text Block"/>
    <w:basedOn w:val="BodyText"/>
    <w:qFormat/>
  </w:style>
  <w:style w:type="paragraph" w:styleId="Title">
    <w:name w:val="Title"/>
    <w:basedOn w:val="Normal"/>
    <w:link w:val="TitleChar"/>
    <w:pPr>
      <w:spacing w:after="360"/>
      <w:jc w:val="center"/>
    </w:pPr>
    <w:rPr>
      <w:b/>
      <w:sz w:val="30"/>
      <w:szCs w:val="20"/>
    </w:rPr>
  </w:style>
  <w:style w:type="character" w:customStyle="1" w:styleId="TitleChar">
    <w:name w:val="Title Char"/>
    <w:basedOn w:val="DefaultParagraphFont"/>
    <w:link w:val="Title"/>
    <w:rPr>
      <w:b/>
      <w:sz w:val="30"/>
    </w:rPr>
  </w:style>
  <w:style w:type="paragraph" w:styleId="ListParagraph">
    <w:name w:val="List Paragraph"/>
    <w:basedOn w:val="Normal"/>
    <w:uiPriority w:val="34"/>
    <w:pPr>
      <w:spacing w:after="240"/>
      <w:ind w:left="7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customStyle="1" w:styleId="Draft">
    <w:name w:val="Draft"/>
    <w:qFormat/>
    <w:pPr>
      <w:jc w:val="center"/>
    </w:pPr>
    <w:rPr>
      <w:color w:val="0070C0"/>
      <w:sz w:val="30"/>
      <w:szCs w:val="24"/>
    </w:rPr>
  </w:style>
  <w:style w:type="paragraph" w:styleId="Revision">
    <w:name w:val="Revision"/>
    <w:hidden/>
    <w:uiPriority w:val="99"/>
    <w:semiHidden/>
    <w:rPr>
      <w:sz w:val="24"/>
      <w:szCs w:val="24"/>
    </w:rPr>
  </w:style>
  <w:style w:type="character" w:customStyle="1" w:styleId="DocID">
    <w:name w:val="DocID"/>
    <w:basedOn w:val="DefaultParagraphFont"/>
    <w:rPr>
      <w:rFonts w:ascii="Times New Roman" w:hAnsi="Times New Roman" w:cs="Times New Roman"/>
      <w:b w:val="0"/>
      <w:i w:val="0"/>
      <w:caps w:val="0"/>
      <w:vanish w:val="0"/>
      <w:color w:val="000000"/>
      <w:sz w:val="14"/>
      <w:u w:val="none"/>
    </w:rPr>
  </w:style>
  <w:style w:type="paragraph" w:customStyle="1" w:styleId="TitleLeft">
    <w:name w:val="Title Left"/>
    <w:basedOn w:val="Normal"/>
    <w:qFormat/>
    <w:pPr>
      <w:keepNext/>
      <w:spacing w:after="240"/>
    </w:pPr>
    <w:rPr>
      <w:b/>
      <w:color w:val="000000" w:themeColor="text1"/>
    </w:rPr>
  </w:style>
  <w:style w:type="paragraph" w:styleId="ListBullet2">
    <w:name w:val="List Bullet 2"/>
    <w:basedOn w:val="Normal"/>
    <w:pPr>
      <w:numPr>
        <w:numId w:val="4"/>
      </w:numPr>
      <w:spacing w:after="240"/>
    </w:pPr>
  </w:style>
  <w:style w:type="paragraph" w:customStyle="1" w:styleId="Hang5">
    <w:name w:val="Hang .5"/>
    <w:basedOn w:val="BodyText"/>
    <w:qFormat/>
    <w:pPr>
      <w:ind w:left="1440" w:hanging="720"/>
    </w:pPr>
  </w:style>
  <w:style w:type="paragraph" w:styleId="BodyTextFirstIndent">
    <w:name w:val="Body Text First Indent"/>
    <w:basedOn w:val="BodyText"/>
    <w:link w:val="BodyTextFirstIndentChar"/>
    <w:pPr>
      <w:ind w:firstLine="720"/>
    </w:pPr>
    <w:rPr>
      <w:color w:val="auto"/>
    </w:rPr>
  </w:style>
  <w:style w:type="character" w:customStyle="1" w:styleId="BodyTextFirstIndentChar">
    <w:name w:val="Body Text First Indent Char"/>
    <w:basedOn w:val="BodyTextChar"/>
    <w:link w:val="BodyTextFirstIndent"/>
    <w:rPr>
      <w:color w:val="000000"/>
      <w:sz w:val="24"/>
      <w:szCs w:val="24"/>
    </w:rPr>
  </w:style>
  <w:style w:type="paragraph" w:styleId="ListBullet3">
    <w:name w:val="List Bullet 3"/>
    <w:basedOn w:val="Normal"/>
    <w:pPr>
      <w:numPr>
        <w:numId w:val="5"/>
      </w:num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2015-10-13T20:34:00Z</dcterms:created>
  <dcterms:modified xsi:type="dcterms:W3CDTF">2015-10-13T20:34:00Z</dcterms:modified>
</cp:coreProperties>
</file>